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дата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934028">
        <w:rPr>
          <w:snapToGrid w:val="0"/>
          <w:sz w:val="18"/>
          <w:szCs w:val="18"/>
          <w:vertAlign w:val="superscript"/>
        </w:rPr>
        <w:t>, имя, отчество, должность )</w:t>
      </w:r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в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4A5018" w:rsidRPr="004A5018" w:rsidRDefault="004A5018" w:rsidP="004A5018"/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</w:t>
      </w:r>
      <w:proofErr w:type="gramStart"/>
      <w:r w:rsidRPr="00036BE0">
        <w:rPr>
          <w:sz w:val="24"/>
          <w:szCs w:val="24"/>
        </w:rPr>
        <w:t>В  АУКЦИОНЕ</w:t>
      </w:r>
      <w:proofErr w:type="gramEnd"/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(кем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60C70"/>
    <w:rsid w:val="0028310D"/>
    <w:rsid w:val="00291932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A5018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500C4"/>
    <w:rsid w:val="00B841F8"/>
    <w:rsid w:val="00B908D9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7872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Людмила В. Блинова</cp:lastModifiedBy>
  <cp:revision>2</cp:revision>
  <cp:lastPrinted>2015-11-02T06:20:00Z</cp:lastPrinted>
  <dcterms:created xsi:type="dcterms:W3CDTF">2024-03-26T12:42:00Z</dcterms:created>
  <dcterms:modified xsi:type="dcterms:W3CDTF">2024-03-26T12:42:00Z</dcterms:modified>
</cp:coreProperties>
</file>