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A34FC0">
      <w:pPr>
        <w:pStyle w:val="ConsPlusNonformat"/>
        <w:widowControl/>
        <w:suppressLineNumbers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9A1F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540017">
        <w:rPr>
          <w:rFonts w:ascii="Times New Roman" w:hAnsi="Times New Roman" w:cs="Times New Roman"/>
          <w:bCs/>
          <w:i/>
          <w:iCs/>
          <w:sz w:val="24"/>
          <w:szCs w:val="24"/>
        </w:rPr>
        <w:t>25.08.2020</w:t>
      </w:r>
      <w:r w:rsidR="00360E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540017">
        <w:rPr>
          <w:rFonts w:ascii="Times New Roman" w:hAnsi="Times New Roman" w:cs="Times New Roman"/>
          <w:bCs/>
          <w:i/>
          <w:iCs/>
          <w:sz w:val="24"/>
          <w:szCs w:val="24"/>
        </w:rPr>
        <w:t>451</w:t>
      </w:r>
      <w:bookmarkStart w:id="0" w:name="_GoBack"/>
      <w:bookmarkEnd w:id="0"/>
    </w:p>
    <w:p w:rsidR="007E740B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79F1" w:rsidRPr="00A41923" w:rsidRDefault="004F79F1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B01BD7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 xml:space="preserve">«ЖИЛИЩНО-КОММУНАЛЬНОЕ  ХОЗЯЙСТВО И </w:t>
      </w:r>
      <w:r w:rsidRPr="00B01BD7">
        <w:rPr>
          <w:rFonts w:ascii="Times New Roman" w:hAnsi="Times New Roman" w:cs="Times New Roman"/>
          <w:b/>
          <w:sz w:val="28"/>
          <w:szCs w:val="28"/>
        </w:rPr>
        <w:t>БЛАГОУС</w:t>
      </w:r>
      <w:r w:rsidR="009A1F9F" w:rsidRPr="00B01BD7">
        <w:rPr>
          <w:rFonts w:ascii="Times New Roman" w:hAnsi="Times New Roman" w:cs="Times New Roman"/>
          <w:b/>
          <w:sz w:val="28"/>
          <w:szCs w:val="28"/>
        </w:rPr>
        <w:t>ТРОЙСТВО  ОКРУГА  МУРОМ НА  2021 -2023</w:t>
      </w:r>
      <w:r w:rsidRPr="00B01BD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B01BD7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B01BD7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B6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2021 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540017" w:rsidTr="004F79F1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392C43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B01BD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B0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нального хозяйства округа Муром.</w:t>
            </w:r>
          </w:p>
        </w:tc>
      </w:tr>
      <w:tr w:rsidR="00C118B9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B01BD7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  <w:p w:rsidR="005B3B67" w:rsidRPr="00B01BD7" w:rsidRDefault="005B3B67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B01BD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2.Модернизация объектов коммунальной инф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раструктуры округа Муром на 2021 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</w:t>
            </w:r>
            <w:r w:rsidR="00D04A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</w:t>
            </w:r>
            <w:r w:rsidR="00CA16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общественного транспорта </w:t>
            </w:r>
            <w:r w:rsidR="001D54B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для граждан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6F4CDB" w:rsidRPr="00B01BD7" w:rsidRDefault="006F4CDB" w:rsidP="006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4.О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беспечение безопасности дорожного движения и транспортного обслуживания населения на</w:t>
            </w:r>
            <w:r w:rsidR="00275C20"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годы;</w:t>
            </w:r>
          </w:p>
          <w:p w:rsidR="006F4CDB" w:rsidRPr="00B01BD7" w:rsidRDefault="006F4CDB" w:rsidP="006F4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275C20"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 18 лет, в округе Муром до 2023</w:t>
            </w:r>
            <w:r w:rsidRPr="00B01BD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года;</w:t>
            </w:r>
          </w:p>
          <w:p w:rsidR="006F4CDB" w:rsidRPr="00B01BD7" w:rsidRDefault="006F4CDB" w:rsidP="006F4CDB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6.Энергосбережение и повышение энергетической эффе</w:t>
            </w:r>
            <w:r w:rsidR="00275C2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2021 -2023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0552B8" w:rsidRPr="00B01BD7" w:rsidRDefault="00275C20" w:rsidP="006F4CDB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7.Чистая вода на 2021-2023</w:t>
            </w:r>
            <w:r w:rsidR="006F4CDB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C118B9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1.Совершенствование системы благоустройства округа Муром, улучшение качества окружающей среды и обеспечение экологической безопасности жителей;</w:t>
            </w:r>
          </w:p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2.Строительство и реконструкция объектов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безопасности дорожного движения и создание комфортных условий проживания населения округа;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4.Приведение автомобильных дорог общего пользования местного значения в надлежащее состояние;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6.Повышение качества и условий жизни семей, имеющих троих и более детей в возрасте до 18 лет, проживающих на территории округа Муром;</w:t>
            </w:r>
          </w:p>
          <w:p w:rsidR="00D565A7" w:rsidRPr="00B01BD7" w:rsidRDefault="00D565A7" w:rsidP="00D56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7.Повышение эффективности использования энергетических ресурсов;</w:t>
            </w:r>
          </w:p>
          <w:p w:rsidR="00D565A7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Создание условий для реализации мер социальной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поддержки отдельных категорий граждан по проезду на общественном транспорте;</w:t>
            </w:r>
          </w:p>
          <w:p w:rsidR="00861B14" w:rsidRPr="00B01BD7" w:rsidRDefault="00D565A7" w:rsidP="00D5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 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</w:tr>
      <w:tr w:rsidR="00C118B9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подлежащих содержанию – 4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– 1302,619 тыс. м</w:t>
            </w:r>
            <w:r w:rsidR="00C81237"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– 195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,0 км;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отловле</w:t>
            </w:r>
            <w:r w:rsidR="007E6D60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87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81237" w:rsidRPr="00B01BD7" w:rsidRDefault="00275C20" w:rsidP="00C812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разработанной проектно-сметной документации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объекты благоустройства – 6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 инженерного обеспечения, подлежащ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их разработке и актуализации – 6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81237" w:rsidRPr="00B01BD7" w:rsidRDefault="00275C20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тяженность сетей водоотведения, 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подлежащих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 – 0,469 км;</w:t>
            </w:r>
          </w:p>
          <w:p w:rsidR="00275C20" w:rsidRPr="00B01BD7" w:rsidRDefault="00275C20" w:rsidP="00275C2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8.Количество приобретенных билетов школьниками, студентами воспользовавшихся услугами общественного транспорта – 10 914 шт.;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9.Количество билетов по льготным категориям граждан воспользовавшихся услугами общественного транспорта в том числе пенсионеры – </w:t>
            </w:r>
            <w:r w:rsidR="007E6D6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83 096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шт.;</w:t>
            </w:r>
          </w:p>
          <w:p w:rsidR="00275C20" w:rsidRPr="00B01BD7" w:rsidRDefault="00275C20" w:rsidP="0027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10.Приобретение льготных социальных билетов отдельными категориями граждан – 106 851 шт;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11.Протяженность автомобильных дорог общего пользования местного значения/протяженность тротуаров – 1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166,68/437,227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Количество установленных дорожных знаков – 1050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13.Количество дорожных знаков, подлежащих техническому обслуживанию к 2023 г.  </w:t>
            </w:r>
            <w:r w:rsidR="00BF50E6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3 240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14.Количество светофоров, подлежащих техническому обслуживанию – 31 ед.;</w:t>
            </w:r>
          </w:p>
          <w:p w:rsidR="00275C20" w:rsidRPr="00B01BD7" w:rsidRDefault="00275C20" w:rsidP="00275C2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15.Количество приобретенного оборудования для формирования навыков безопасного поведения на улично-дорожной сети – 6 ед.;</w:t>
            </w:r>
          </w:p>
          <w:p w:rsidR="00275C20" w:rsidRPr="00B01BD7" w:rsidRDefault="00275C20" w:rsidP="0027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Протяженность построенных сетей инженерно-транспортной инфраструктуры к земельным участкам, предоставл</w:t>
            </w:r>
            <w:r w:rsidR="00BC648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енным многодетным семьям –9,646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км.</w:t>
            </w:r>
          </w:p>
          <w:p w:rsidR="00275C20" w:rsidRPr="00B01BD7" w:rsidRDefault="000C0FB6" w:rsidP="000C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17.Количество установленных светодиодных светильников – 1 036 ед.;</w:t>
            </w:r>
          </w:p>
          <w:p w:rsidR="000C0FB6" w:rsidRPr="00B01BD7" w:rsidRDefault="000C0FB6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доли населения округа Муром, обеспеченного качественной питьевой водой из систем централизо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ванного водоснабжения – до 91%;</w:t>
            </w:r>
          </w:p>
          <w:p w:rsidR="00C81237" w:rsidRPr="00B01BD7" w:rsidRDefault="000C0FB6" w:rsidP="00C8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объектов водоснабжения для обеспечения населения округа качественной питьевой водой – 2 ед.;</w:t>
            </w:r>
          </w:p>
          <w:p w:rsidR="00CD32F1" w:rsidRPr="00B01BD7" w:rsidRDefault="000C0FB6" w:rsidP="000C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  <w:r w:rsidR="00C8123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разработанной проектно-сметной документации на объекту водоснабжения– 1 ед.</w:t>
            </w:r>
          </w:p>
        </w:tc>
      </w:tr>
      <w:tr w:rsidR="00C118B9" w:rsidRPr="00B01BD7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B01BD7" w:rsidRDefault="000C0FB6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</w:t>
            </w:r>
            <w:r w:rsidR="00C118B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B01BD7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B01BD7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2021-2023 годы – 971 563,37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560 039,47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местный дорожный фонд –                  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199 147,0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841708" w:rsidRPr="00B01BD7" w:rsidRDefault="00FE4A76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124</w:t>
            </w:r>
            <w:r w:rsidR="00C52794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647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 – 286 876,6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300 347, 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181 537,13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                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64 483,0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C32B62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66 283,9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</w:t>
            </w:r>
          </w:p>
          <w:p w:rsidR="00C32B62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бюджет-52 526,2 тыс.руб.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446 772,47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189 251,17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местный дорожный фонд – 66 823,0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23 170,9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бюджет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234 350,4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Всего – 224 443, 67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тыс.руб.;</w:t>
            </w:r>
          </w:p>
          <w:p w:rsidR="00841708" w:rsidRPr="00B01BD7" w:rsidRDefault="00C32B62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189 251,17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</w:t>
            </w:r>
            <w:r w:rsidR="00C32B6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67 841,0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2C5ACE" w:rsidRPr="00133110" w:rsidRDefault="00FE4A76" w:rsidP="001331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Областной бюджет – 35 192</w:t>
            </w:r>
            <w:r w:rsidR="00C32B62" w:rsidRPr="00B01BD7">
              <w:rPr>
                <w:rFonts w:ascii="Times New Roman" w:hAnsi="Times New Roman"/>
                <w:sz w:val="28"/>
                <w:szCs w:val="28"/>
              </w:rPr>
              <w:t>,5</w:t>
            </w:r>
            <w:r w:rsidR="00841708" w:rsidRPr="00B01BD7">
              <w:rPr>
                <w:rFonts w:ascii="Times New Roman" w:hAnsi="Times New Roman"/>
                <w:sz w:val="28"/>
                <w:szCs w:val="28"/>
              </w:rPr>
              <w:t xml:space="preserve"> тыс.руб.,</w:t>
            </w:r>
          </w:p>
        </w:tc>
      </w:tr>
      <w:tr w:rsidR="008C6CCF" w:rsidRPr="00540017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CF" w:rsidRPr="00B01BD7" w:rsidRDefault="008C6CCF" w:rsidP="008C6C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Улучшение санитарной и экологической обстановки, создание среды, комфортной для проживания жителей округа;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эстетического состояния территории округа;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</w:t>
            </w:r>
            <w:r w:rsidR="008C6CCF"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Привитие жителям любви и уважения к своему округу, соблюдение чистоты и порядка на территории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8C6CCF" w:rsidRPr="00B01BD7" w:rsidRDefault="00C52794" w:rsidP="008C6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объектами инженерной инфраструктуры территории округа Муром;</w:t>
            </w:r>
          </w:p>
          <w:p w:rsidR="008C6CCF" w:rsidRPr="00B01BD7" w:rsidRDefault="00C52794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0613FB">
              <w:rPr>
                <w:rFonts w:ascii="Times New Roman" w:hAnsi="Times New Roman"/>
                <w:sz w:val="28"/>
                <w:szCs w:val="28"/>
                <w:lang w:val="ru-RU"/>
              </w:rPr>
              <w:t>Улучшение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качества жизни населения округа Муром путем обеспечения 91 % населения качественной питьевой водой с помощью строительства объектов водоснабжения в количестве 2 единицы;</w:t>
            </w:r>
          </w:p>
          <w:p w:rsidR="008C6CCF" w:rsidRPr="00B01BD7" w:rsidRDefault="00C52794" w:rsidP="008C6C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  <w:r w:rsidR="000613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к 2023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году инженерной </w:t>
            </w:r>
            <w:r w:rsidR="000613F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транспортной инфраструктурой 18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земельных участков, предоставленных многодетным семьям;</w:t>
            </w:r>
          </w:p>
          <w:p w:rsidR="008C6CCF" w:rsidRPr="00B01BD7" w:rsidRDefault="00C52794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  <w:r w:rsidR="008C6CC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Улучшение качества наружного освещения территории округа Муром путем установки светодиодных светил</w:t>
            </w:r>
            <w:r w:rsidR="000613FB">
              <w:rPr>
                <w:rFonts w:ascii="Times New Roman" w:hAnsi="Times New Roman"/>
                <w:sz w:val="28"/>
                <w:szCs w:val="28"/>
                <w:lang w:val="ru-RU"/>
              </w:rPr>
              <w:t>ьников в количестве 1036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единиц;</w:t>
            </w:r>
          </w:p>
          <w:p w:rsidR="00C52794" w:rsidRPr="00B01BD7" w:rsidRDefault="000E5F22" w:rsidP="00C527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9.Снижение к 2023</w:t>
            </w:r>
            <w:r w:rsidR="00C52794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52794" w:rsidRPr="00B01BD7" w:rsidRDefault="000613FB" w:rsidP="008C6CC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5419F4" w:rsidRPr="00B01BD7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B01BD7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F46184" w:rsidRPr="00B01BD7" w:rsidRDefault="00F46184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4732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оустройство округа Муром на 2021-2023</w:t>
      </w:r>
      <w:r w:rsidR="002870F9"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B01BD7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B01BD7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 xml:space="preserve">На текущий момент </w:t>
      </w:r>
      <w:r w:rsidR="00432DEE" w:rsidRPr="00B01BD7">
        <w:rPr>
          <w:rFonts w:ascii="Times New Roman" w:hAnsi="Times New Roman"/>
          <w:sz w:val="28"/>
          <w:szCs w:val="28"/>
          <w:lang w:val="ru-RU"/>
        </w:rPr>
        <w:t>в муниципальной собственности округа Муром находятся следующие объекты инженерной инфраструктуры:</w:t>
      </w:r>
    </w:p>
    <w:p w:rsidR="00BB296E" w:rsidRPr="00B01BD7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B01BD7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B01BD7" w:rsidTr="00F90528">
        <w:tc>
          <w:tcPr>
            <w:tcW w:w="6150" w:type="dxa"/>
          </w:tcPr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B01BD7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B01BD7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B01BD7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C52794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B01BD7" w:rsidRDefault="00C52794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221,2</w:t>
            </w:r>
            <w:r w:rsidR="00F9052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B01BD7" w:rsidTr="00F90528">
        <w:tc>
          <w:tcPr>
            <w:tcW w:w="6150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B01BD7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B01BD7" w:rsidTr="00F90528">
        <w:tc>
          <w:tcPr>
            <w:tcW w:w="6150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B01BD7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F4319A" w:rsidRPr="00B01BD7" w:rsidRDefault="00133110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74B88" w:rsidRPr="00B01BD7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B01BD7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B01BD7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ной сети округа составляет – 202,7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км., в том числе: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 усовершенствованным покрытие</w:t>
      </w:r>
      <w:r w:rsidR="00C52794" w:rsidRPr="00B01BD7">
        <w:rPr>
          <w:rFonts w:ascii="Times New Roman" w:hAnsi="Times New Roman"/>
          <w:sz w:val="28"/>
          <w:szCs w:val="28"/>
          <w:lang w:val="ru-RU"/>
        </w:rPr>
        <w:t>м  - 127,6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 км (62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D54732" w:rsidRPr="00B01BD7" w:rsidRDefault="00C52794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 щебеночным покрытием   - 31,5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 км (15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 xml:space="preserve"> %);</w:t>
      </w:r>
    </w:p>
    <w:p w:rsidR="00D54732" w:rsidRPr="00B01BD7" w:rsidRDefault="00C52794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грунтовых – 43,6 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 xml:space="preserve">км (22 </w:t>
      </w:r>
      <w:r w:rsidR="00D54732" w:rsidRPr="00B01BD7">
        <w:rPr>
          <w:rFonts w:ascii="Times New Roman" w:hAnsi="Times New Roman"/>
          <w:sz w:val="28"/>
          <w:szCs w:val="28"/>
          <w:lang w:val="ru-RU"/>
        </w:rPr>
        <w:t>%).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B01BD7">
        <w:rPr>
          <w:rFonts w:ascii="Times New Roman" w:hAnsi="Times New Roman"/>
          <w:sz w:val="28"/>
          <w:szCs w:val="28"/>
          <w:lang w:val="ru-RU"/>
        </w:rPr>
        <w:t xml:space="preserve"> находит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ся 195</w:t>
      </w:r>
      <w:r w:rsidR="00BF7C8E" w:rsidRPr="00B01BD7">
        <w:rPr>
          <w:rFonts w:ascii="Times New Roman" w:hAnsi="Times New Roman"/>
          <w:sz w:val="28"/>
          <w:szCs w:val="28"/>
          <w:lang w:val="ru-RU"/>
        </w:rPr>
        <w:t>,0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B01BD7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B01BD7">
        <w:rPr>
          <w:sz w:val="28"/>
          <w:szCs w:val="28"/>
        </w:rPr>
        <w:t>В настоящее время в о. Муром для обеспечения наружного</w:t>
      </w:r>
      <w:r w:rsidR="00CF4568" w:rsidRPr="00B01BD7">
        <w:rPr>
          <w:sz w:val="28"/>
          <w:szCs w:val="28"/>
        </w:rPr>
        <w:t xml:space="preserve"> уличного освещения имеется 6 190 светильников</w:t>
      </w:r>
      <w:r w:rsidRPr="00B01BD7">
        <w:rPr>
          <w:sz w:val="28"/>
          <w:szCs w:val="28"/>
        </w:rPr>
        <w:t>. В округе Муром постоянно ведется модернизация наружного уличного освещения п</w:t>
      </w:r>
      <w:r w:rsidR="00CF4568" w:rsidRPr="00B01BD7">
        <w:rPr>
          <w:sz w:val="28"/>
          <w:szCs w:val="28"/>
        </w:rPr>
        <w:t>утем замены  настоящий момент 83</w:t>
      </w:r>
      <w:r w:rsidRPr="00B01BD7">
        <w:rPr>
          <w:sz w:val="28"/>
          <w:szCs w:val="28"/>
        </w:rPr>
        <w:t xml:space="preserve">% данных светильников-энергосберегающие.. Для завершения  модернизации уличного освещения в округе Муром </w:t>
      </w:r>
      <w:r w:rsidR="00CF4568" w:rsidRPr="00B01BD7">
        <w:rPr>
          <w:sz w:val="28"/>
          <w:szCs w:val="28"/>
        </w:rPr>
        <w:t>необходимо заменить оставшиеся 17</w:t>
      </w:r>
      <w:r w:rsidRPr="00B01BD7">
        <w:rPr>
          <w:sz w:val="28"/>
          <w:szCs w:val="28"/>
        </w:rPr>
        <w:t xml:space="preserve">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B01BD7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B01BD7">
        <w:rPr>
          <w:rFonts w:ascii="Times New Roman" w:hAnsi="Times New Roman"/>
          <w:sz w:val="28"/>
          <w:szCs w:val="28"/>
          <w:lang w:val="ru-RU"/>
        </w:rPr>
        <w:t>парков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B01BD7">
        <w:rPr>
          <w:rFonts w:ascii="Times New Roman" w:hAnsi="Times New Roman"/>
          <w:sz w:val="28"/>
          <w:szCs w:val="28"/>
          <w:lang w:val="ru-RU"/>
        </w:rPr>
        <w:t>373,1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B01BD7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B01BD7">
        <w:rPr>
          <w:rFonts w:ascii="Times New Roman" w:hAnsi="Times New Roman"/>
          <w:sz w:val="28"/>
          <w:szCs w:val="28"/>
          <w:lang w:val="ru-RU"/>
        </w:rPr>
        <w:t>28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B01BD7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B01BD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предпринимателей, активизации работы населения, а также значительного финансирования и времени.</w:t>
      </w:r>
    </w:p>
    <w:p w:rsidR="00D54732" w:rsidRPr="00B01BD7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B01BD7">
        <w:rPr>
          <w:rFonts w:ascii="Times New Roman" w:hAnsi="Times New Roman"/>
          <w:sz w:val="28"/>
          <w:szCs w:val="28"/>
          <w:lang w:val="ru-RU"/>
        </w:rPr>
        <w:t>оуст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ройство округа Муром на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B01BD7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B01BD7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B01BD7" w:rsidRDefault="008936A6" w:rsidP="009A766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B01BD7" w:rsidRDefault="008936A6" w:rsidP="009A7660">
      <w:pPr>
        <w:pStyle w:val="ConsPlusNormal"/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B01BD7" w:rsidRDefault="008936A6" w:rsidP="009A76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lastRenderedPageBreak/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B01BD7" w:rsidRDefault="008936A6" w:rsidP="009A76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F46184" w:rsidRPr="00B01BD7" w:rsidRDefault="00F46184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B01BD7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F46184" w:rsidRPr="00B01BD7" w:rsidRDefault="00F46184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B01BD7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B01BD7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B01BD7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B01BD7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B01BD7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</w:t>
      </w:r>
      <w:r w:rsidR="00CD32F1" w:rsidRPr="00B01BD7">
        <w:rPr>
          <w:rFonts w:ascii="Times New Roman" w:hAnsi="Times New Roman" w:cs="Times New Roman"/>
          <w:sz w:val="28"/>
          <w:szCs w:val="28"/>
        </w:rPr>
        <w:t>.</w:t>
      </w:r>
      <w:r w:rsidR="00D42482" w:rsidRPr="00B01BD7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B01BD7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8</w:t>
      </w:r>
      <w:r w:rsidR="00AA5A14" w:rsidRPr="00B01BD7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8936A6" w:rsidRPr="00B01BD7" w:rsidRDefault="00CF4568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программы 2021 – 2023</w:t>
      </w:r>
      <w:r w:rsidR="008936A6" w:rsidRPr="00B01BD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B01BD7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B01BD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40FE" w:rsidRPr="00B01BD7" w:rsidRDefault="008936A6" w:rsidP="00F461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B01BD7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B01BD7" w:rsidTr="00646142">
        <w:tc>
          <w:tcPr>
            <w:tcW w:w="795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540017" w:rsidTr="00646142">
        <w:tc>
          <w:tcPr>
            <w:tcW w:w="9345" w:type="dxa"/>
            <w:gridSpan w:val="3"/>
          </w:tcPr>
          <w:p w:rsidR="008D5852" w:rsidRPr="00B01BD7" w:rsidRDefault="008D5852" w:rsidP="009A76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54001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реализации муниципальной программы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рамках данного мероприятия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централизованной бухгалтерии 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Управления ЖКХ и </w:t>
            </w:r>
            <w:r w:rsidR="00156EFC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«</w:t>
            </w:r>
            <w:r w:rsidR="00156EFC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Муниципальная инспекция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администрации округа Муром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»</w:t>
            </w:r>
            <w:r w:rsidR="007C571D"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.</w:t>
            </w:r>
          </w:p>
        </w:tc>
      </w:tr>
      <w:tr w:rsidR="00E346C5" w:rsidRPr="0054001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54001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540017" w:rsidTr="00646142">
        <w:tc>
          <w:tcPr>
            <w:tcW w:w="795" w:type="dxa"/>
          </w:tcPr>
          <w:p w:rsidR="00E346C5" w:rsidRPr="00B01BD7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156EFC" w:rsidRPr="00B01BD7" w:rsidRDefault="00156EFC" w:rsidP="001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предусмотрено выполнение государственных полномочий по организации мероприятий при осуществлении деятельности по обращению с животными без владельцев.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8936A6" w:rsidRPr="00540017" w:rsidTr="00646142">
        <w:tc>
          <w:tcPr>
            <w:tcW w:w="9345" w:type="dxa"/>
            <w:gridSpan w:val="3"/>
          </w:tcPr>
          <w:p w:rsidR="008936A6" w:rsidRPr="00B01BD7" w:rsidRDefault="008936A6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2021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56EFC" w:rsidRPr="00540017" w:rsidTr="00156EFC">
        <w:trPr>
          <w:trHeight w:val="1082"/>
        </w:trPr>
        <w:tc>
          <w:tcPr>
            <w:tcW w:w="795" w:type="dxa"/>
          </w:tcPr>
          <w:p w:rsidR="00156EFC" w:rsidRPr="00B01BD7" w:rsidRDefault="00156EFC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860" w:type="dxa"/>
          </w:tcPr>
          <w:p w:rsidR="00156EFC" w:rsidRPr="00B01BD7" w:rsidRDefault="00156EFC" w:rsidP="0045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</w:t>
            </w:r>
          </w:p>
        </w:tc>
        <w:tc>
          <w:tcPr>
            <w:tcW w:w="4690" w:type="dxa"/>
          </w:tcPr>
          <w:p w:rsidR="00156EFC" w:rsidRPr="00B01BD7" w:rsidRDefault="00156EFC" w:rsidP="0069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запланированы мероприятия по актуализации схем инженерного обеспечения  округа Муром.</w:t>
            </w:r>
          </w:p>
        </w:tc>
      </w:tr>
      <w:tr w:rsidR="00351EF2" w:rsidRPr="00540017" w:rsidTr="00646142">
        <w:trPr>
          <w:trHeight w:val="1408"/>
        </w:trPr>
        <w:tc>
          <w:tcPr>
            <w:tcW w:w="795" w:type="dxa"/>
          </w:tcPr>
          <w:p w:rsidR="00351EF2" w:rsidRPr="00B01BD7" w:rsidRDefault="00156EFC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  <w:r w:rsidR="00351EF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B01BD7" w:rsidRDefault="00351EF2" w:rsidP="0045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45591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351EF2" w:rsidRPr="00B01BD7" w:rsidRDefault="0069520F" w:rsidP="0069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модернизацию объектов водоотведения округа Муром путем санации.</w:t>
            </w:r>
          </w:p>
        </w:tc>
      </w:tr>
      <w:tr w:rsidR="008936A6" w:rsidRPr="00540017" w:rsidTr="00646142">
        <w:tc>
          <w:tcPr>
            <w:tcW w:w="9345" w:type="dxa"/>
            <w:gridSpan w:val="3"/>
          </w:tcPr>
          <w:p w:rsidR="008936A6" w:rsidRPr="00B01BD7" w:rsidRDefault="00DB6E83" w:rsidP="009A766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«Обеспечение доступности</w:t>
            </w:r>
            <w:r w:rsidR="00112D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общественного  транспорта д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ля граждан 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DB6E83" w:rsidRPr="00540017" w:rsidTr="00646142">
        <w:tc>
          <w:tcPr>
            <w:tcW w:w="795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860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B01BD7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540017" w:rsidTr="00646142">
        <w:tc>
          <w:tcPr>
            <w:tcW w:w="9345" w:type="dxa"/>
            <w:gridSpan w:val="3"/>
          </w:tcPr>
          <w:p w:rsidR="008936A6" w:rsidRPr="00B01BD7" w:rsidRDefault="008936A6" w:rsidP="009A766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540017" w:rsidTr="00646142">
        <w:tc>
          <w:tcPr>
            <w:tcW w:w="795" w:type="dxa"/>
          </w:tcPr>
          <w:p w:rsidR="008936A6" w:rsidRPr="00B01BD7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B01BD7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B01BD7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9117A" w:rsidRPr="00B01BD7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B01BD7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540017" w:rsidTr="00646142">
        <w:tc>
          <w:tcPr>
            <w:tcW w:w="9345" w:type="dxa"/>
            <w:gridSpan w:val="3"/>
          </w:tcPr>
          <w:p w:rsidR="00E346C5" w:rsidRPr="00B01BD7" w:rsidRDefault="00E346C5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 ле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т, в округе Муром до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540017" w:rsidTr="00646142">
        <w:tc>
          <w:tcPr>
            <w:tcW w:w="795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обеспечить инженерной и транспортной инфраструктурой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земельные участки, выделенные многодетным семьям округа Муром по следующим адресам:</w:t>
            </w:r>
          </w:p>
          <w:p w:rsidR="00E346C5" w:rsidRPr="00B01BD7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</w:t>
            </w:r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 участков)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346C5" w:rsidRPr="00B01BD7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6843E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(90 участков)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F4568" w:rsidRPr="00B01BD7" w:rsidRDefault="00CF4568" w:rsidP="00CF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-ул.Совхозная (90 участков);</w:t>
            </w:r>
          </w:p>
          <w:p w:rsidR="00CF4568" w:rsidRPr="00B01BD7" w:rsidRDefault="00CF4568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D32F1" w:rsidRPr="00540017" w:rsidTr="00646142">
        <w:trPr>
          <w:trHeight w:val="803"/>
        </w:trPr>
        <w:tc>
          <w:tcPr>
            <w:tcW w:w="9345" w:type="dxa"/>
            <w:gridSpan w:val="3"/>
          </w:tcPr>
          <w:p w:rsidR="00CD32F1" w:rsidRPr="00B01BD7" w:rsidRDefault="00CD32F1" w:rsidP="009A7660">
            <w:pPr>
              <w:pStyle w:val="a4"/>
              <w:numPr>
                <w:ilvl w:val="0"/>
                <w:numId w:val="14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"Энергосбережение и повышение энергетической  эффек</w:t>
            </w:r>
            <w:r w:rsidR="00CF456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2021 -2023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540017" w:rsidTr="00F46184">
        <w:trPr>
          <w:trHeight w:val="274"/>
        </w:trPr>
        <w:tc>
          <w:tcPr>
            <w:tcW w:w="795" w:type="dxa"/>
          </w:tcPr>
          <w:p w:rsidR="00CD32F1" w:rsidRPr="00B01BD7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B01BD7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B01BD7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</w:tc>
      </w:tr>
      <w:tr w:rsidR="003D1A21" w:rsidRPr="00540017" w:rsidTr="003D1A21">
        <w:tc>
          <w:tcPr>
            <w:tcW w:w="9345" w:type="dxa"/>
            <w:gridSpan w:val="3"/>
          </w:tcPr>
          <w:p w:rsidR="003D1A21" w:rsidRPr="00B01BD7" w:rsidRDefault="003D1A21" w:rsidP="009A7660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E22B57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одпрограмма «Чистая вода на 2021-2023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3D1A21" w:rsidRPr="00540017" w:rsidTr="00646142">
        <w:tc>
          <w:tcPr>
            <w:tcW w:w="795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7.1.</w:t>
            </w:r>
          </w:p>
        </w:tc>
        <w:tc>
          <w:tcPr>
            <w:tcW w:w="386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водоснабжения и водоотведения»</w:t>
            </w:r>
          </w:p>
        </w:tc>
        <w:tc>
          <w:tcPr>
            <w:tcW w:w="469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запланировано разработать проектную документацию на объекты питьевого водоснабжения, планируемые к строительству в рамках федерального проекта «Чистая вода» национального проекта «Экология»</w:t>
            </w:r>
          </w:p>
        </w:tc>
      </w:tr>
      <w:tr w:rsidR="003D1A21" w:rsidRPr="00540017" w:rsidTr="00646142">
        <w:tc>
          <w:tcPr>
            <w:tcW w:w="795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7.2.</w:t>
            </w:r>
          </w:p>
        </w:tc>
        <w:tc>
          <w:tcPr>
            <w:tcW w:w="386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«Федеральный проект «Чистая вода» национального проекта «Экология»«</w:t>
            </w:r>
          </w:p>
        </w:tc>
        <w:tc>
          <w:tcPr>
            <w:tcW w:w="4690" w:type="dxa"/>
          </w:tcPr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строительство объектов питьевого водоснабжения:</w:t>
            </w:r>
          </w:p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 Строительство водопровода по Радиозаводскому шоссе со строительством станции повышения давления от ул.Куйбышева до ул.Орловская;</w:t>
            </w:r>
          </w:p>
          <w:p w:rsidR="003D1A21" w:rsidRPr="00B01BD7" w:rsidRDefault="003D1A21" w:rsidP="003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  Установка станции очистки воды на водозаборе в районе деревни Александровка</w:t>
            </w:r>
          </w:p>
        </w:tc>
      </w:tr>
    </w:tbl>
    <w:p w:rsidR="008936A6" w:rsidRPr="00B01BD7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0A1C9F" w:rsidRPr="00B01BD7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B01BD7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CF4568" w:rsidRPr="00B01BD7">
        <w:rPr>
          <w:rFonts w:ascii="Times New Roman" w:hAnsi="Times New Roman"/>
          <w:sz w:val="28"/>
          <w:szCs w:val="28"/>
          <w:lang w:val="ru-RU"/>
        </w:rPr>
        <w:t>уром на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7540FE" w:rsidRPr="00B01BD7" w:rsidRDefault="007540FE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B01BD7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Раздел 4. Ресурсное обеспечение муниципальной программы</w:t>
      </w:r>
    </w:p>
    <w:p w:rsidR="000D56FD" w:rsidRPr="00B01BD7" w:rsidRDefault="000D56FD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1708" w:rsidRPr="00B01BD7" w:rsidRDefault="00841708" w:rsidP="008417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реализацию П</w:t>
      </w:r>
      <w:r w:rsidR="00AA1BB0" w:rsidRPr="00B01BD7">
        <w:rPr>
          <w:rFonts w:ascii="Times New Roman" w:hAnsi="Times New Roman"/>
          <w:sz w:val="28"/>
          <w:szCs w:val="28"/>
          <w:lang w:val="ru-RU"/>
        </w:rPr>
        <w:t>рограммы планируется направить 971 563,37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тыс. руб.  </w:t>
      </w:r>
    </w:p>
    <w:p w:rsidR="00841708" w:rsidRPr="00B01BD7" w:rsidRDefault="00841708" w:rsidP="0084170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Программы представлено в таблице №3.</w:t>
      </w:r>
    </w:p>
    <w:p w:rsidR="00841708" w:rsidRPr="00B01BD7" w:rsidRDefault="00841708" w:rsidP="00841708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188"/>
        <w:gridCol w:w="2065"/>
        <w:gridCol w:w="1479"/>
        <w:gridCol w:w="1567"/>
      </w:tblGrid>
      <w:tr w:rsidR="00841708" w:rsidRPr="00540017" w:rsidTr="00AA1BB0">
        <w:trPr>
          <w:trHeight w:val="36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Программы,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841708" w:rsidRPr="00B01BD7" w:rsidTr="00AA1BB0">
        <w:trPr>
          <w:trHeight w:val="352"/>
        </w:trPr>
        <w:tc>
          <w:tcPr>
            <w:tcW w:w="2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7C0F3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971 563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300 347,2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446 772,47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224 443,67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 округа Муром, в т.ч.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7C0F3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560 039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181 537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189 251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189 251,17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дорожный фонд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199 147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64 483,0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66 823,0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67 841,0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Областной бюджет,</w:t>
            </w:r>
          </w:p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89688D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124 647,3</w:t>
            </w:r>
            <w:r w:rsidR="007C0F38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7C0F38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66 283,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="0079722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23 170,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35 192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,5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841708" w:rsidRPr="00B01BD7" w:rsidTr="00AA1BB0">
        <w:trPr>
          <w:trHeight w:val="24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841708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1708" w:rsidRPr="00B01BD7" w:rsidRDefault="00D73906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286 876,6</w:t>
            </w:r>
            <w:r w:rsidR="007C0F38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="0089688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D73906" w:rsidP="00841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52 526,2 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234350,</w:t>
            </w: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841708"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*</w:t>
            </w:r>
            <w:r w:rsidR="0089688D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708" w:rsidRPr="00B01BD7" w:rsidRDefault="00AA1BB0" w:rsidP="008417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0D56FD" w:rsidRPr="00B01BD7" w:rsidRDefault="000D56FD" w:rsidP="000D56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*Данные объемы финансирования носят прогнозный характер и подлежат уточнению».</w:t>
      </w:r>
    </w:p>
    <w:p w:rsidR="0097110F" w:rsidRPr="00B01BD7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B01BD7" w:rsidRDefault="0097110F" w:rsidP="009A7660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C5187A" w:rsidRPr="00B01BD7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B01BD7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B01BD7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D65518" w:rsidRPr="00B01BD7">
        <w:rPr>
          <w:rFonts w:ascii="Times New Roman" w:hAnsi="Times New Roman" w:cs="Times New Roman"/>
          <w:sz w:val="28"/>
          <w:szCs w:val="28"/>
        </w:rPr>
        <w:t>к 2023</w:t>
      </w:r>
      <w:r w:rsidRPr="00B01BD7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B01BD7" w:rsidRDefault="00D65518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-Обеспечение к 2023</w:t>
      </w:r>
      <w:r w:rsidR="001B1F9E" w:rsidRPr="00B01BD7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="00D73906" w:rsidRPr="00B01BD7">
        <w:rPr>
          <w:rFonts w:ascii="Times New Roman" w:hAnsi="Times New Roman"/>
          <w:sz w:val="28"/>
          <w:szCs w:val="28"/>
          <w:lang w:val="ru-RU"/>
        </w:rPr>
        <w:t>18</w:t>
      </w:r>
      <w:r w:rsidR="006843E7" w:rsidRPr="00B01BD7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1B1F9E" w:rsidRPr="00B01BD7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01BD7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B01BD7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B01BD7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7F7C6C" w:rsidRPr="00B01BD7">
        <w:rPr>
          <w:rFonts w:ascii="Times New Roman" w:hAnsi="Times New Roman"/>
          <w:sz w:val="28"/>
          <w:szCs w:val="28"/>
          <w:lang w:val="ru-RU"/>
        </w:rPr>
        <w:t>ых светильник</w:t>
      </w:r>
      <w:r w:rsidR="00D73906" w:rsidRPr="00B01BD7">
        <w:rPr>
          <w:rFonts w:ascii="Times New Roman" w:hAnsi="Times New Roman"/>
          <w:sz w:val="28"/>
          <w:szCs w:val="28"/>
          <w:lang w:val="ru-RU"/>
        </w:rPr>
        <w:t>ов в количестве 1036</w:t>
      </w:r>
      <w:r w:rsidR="00E66D01" w:rsidRPr="00B01BD7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BA3AC0" w:rsidRPr="00B01BD7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B01BD7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</w:t>
      </w:r>
      <w:r w:rsidR="00BA3AC0" w:rsidRPr="00B01BD7">
        <w:rPr>
          <w:rFonts w:ascii="Times New Roman" w:hAnsi="Times New Roman"/>
          <w:sz w:val="28"/>
          <w:szCs w:val="28"/>
          <w:lang w:val="ru-RU"/>
        </w:rPr>
        <w:t>полученных доходов перевозчикам;</w:t>
      </w:r>
    </w:p>
    <w:p w:rsidR="00BA3AC0" w:rsidRPr="00B01BD7" w:rsidRDefault="00BA3AC0" w:rsidP="00BA3A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- Обеспечение населения округа Муром качественным питьевым водоснабжением.</w:t>
      </w:r>
    </w:p>
    <w:p w:rsidR="007540FE" w:rsidRPr="00B01BD7" w:rsidRDefault="0097110F" w:rsidP="00F4618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B01BD7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351"/>
        <w:gridCol w:w="18"/>
        <w:gridCol w:w="33"/>
        <w:gridCol w:w="1276"/>
        <w:gridCol w:w="106"/>
        <w:gridCol w:w="150"/>
        <w:gridCol w:w="1445"/>
        <w:gridCol w:w="82"/>
        <w:gridCol w:w="1688"/>
        <w:gridCol w:w="73"/>
        <w:gridCol w:w="1559"/>
      </w:tblGrid>
      <w:tr w:rsidR="0097110F" w:rsidRPr="00B01BD7" w:rsidTr="00C64200">
        <w:tc>
          <w:tcPr>
            <w:tcW w:w="3380" w:type="dxa"/>
            <w:gridSpan w:val="2"/>
            <w:vMerge w:val="restart"/>
          </w:tcPr>
          <w:p w:rsidR="007F6D01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30" w:type="dxa"/>
            <w:gridSpan w:val="10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  <w:r w:rsidR="004F79F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97110F" w:rsidRPr="00B01BD7" w:rsidTr="00C64200">
        <w:tc>
          <w:tcPr>
            <w:tcW w:w="3380" w:type="dxa"/>
            <w:gridSpan w:val="2"/>
            <w:vMerge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77" w:type="dxa"/>
            <w:gridSpan w:val="3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32" w:type="dxa"/>
            <w:gridSpan w:val="2"/>
          </w:tcPr>
          <w:p w:rsidR="00402DE5" w:rsidRPr="00B01BD7" w:rsidRDefault="006843E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B01BD7" w:rsidRDefault="006843E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7110F"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B1F9E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2021-2023 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="001B1F9E"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6142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302,619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646142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276" w:type="dxa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</w:t>
            </w:r>
            <w:r w:rsidR="001B1F9E" w:rsidRPr="00B01BD7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276" w:type="dxa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701" w:type="dxa"/>
            <w:gridSpan w:val="3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843" w:type="dxa"/>
            <w:gridSpan w:val="3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1B1F9E" w:rsidRPr="00B01BD7" w:rsidRDefault="00CA5C81" w:rsidP="00CA5C8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</w:tr>
      <w:tr w:rsidR="001B1F9E" w:rsidRPr="00B01BD7" w:rsidTr="00C64200">
        <w:tblPrEx>
          <w:jc w:val="center"/>
          <w:tblInd w:w="0" w:type="dxa"/>
        </w:tblPrEx>
        <w:trPr>
          <w:gridBefore w:val="1"/>
          <w:wBefore w:w="29" w:type="dxa"/>
          <w:jc w:val="center"/>
        </w:trPr>
        <w:tc>
          <w:tcPr>
            <w:tcW w:w="3402" w:type="dxa"/>
            <w:gridSpan w:val="3"/>
          </w:tcPr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276" w:type="dxa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gridSpan w:val="3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  <w:gridSpan w:val="3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D73906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1B1F9E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B01BD7" w:rsidRDefault="0093711A" w:rsidP="00B7640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7110F" w:rsidRPr="00540017" w:rsidTr="00F46184">
        <w:trPr>
          <w:trHeight w:val="663"/>
        </w:trPr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B0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C1B8D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стру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ктуры  округа Муром на 2021– 2023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97110F" w:rsidRPr="00B01BD7" w:rsidTr="00C64200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="0097110F" w:rsidRPr="00B01BD7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B01BD7" w:rsidRDefault="0097110F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2C64" w:rsidRPr="00B01BD7" w:rsidTr="00C64200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C42110" w:rsidRPr="00B01BD7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водоотведения, подлежащих модернизации,км.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3A1B2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732C64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4" w:rsidRPr="00B01BD7" w:rsidRDefault="00C42110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</w:tr>
      <w:tr w:rsidR="005A3BD1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 «Обеспечение доступности </w:t>
            </w:r>
            <w:r w:rsidR="00EE29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услуг 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 транспорта д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ля граждан  округа Муром на 2021-2023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годы».</w:t>
            </w: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93711A" w:rsidP="00B7640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B01BD7" w:rsidRDefault="005A3BD1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10 914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93711A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BD289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83 096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5A3BD1" w:rsidRPr="00B01BD7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93711A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B55863" w:rsidP="00F46184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93711A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B01BD7" w:rsidRDefault="005A3BD1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F46184" w:rsidP="00527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</w:t>
            </w:r>
            <w:r w:rsidR="0052791A">
              <w:rPr>
                <w:rFonts w:ascii="Times New Roman" w:hAnsi="Times New Roman"/>
                <w:sz w:val="28"/>
                <w:szCs w:val="28"/>
                <w:lang w:val="ru-RU"/>
              </w:rPr>
              <w:t>1-2023</w:t>
            </w:r>
            <w:r w:rsidR="0097110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506346" w:rsidRPr="00B01BD7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="00506346" w:rsidRPr="00B01B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B01BD7" w:rsidRDefault="00E31218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7110F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5B5853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C64200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3 040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3 140</w:t>
            </w:r>
          </w:p>
          <w:p w:rsidR="00253D07" w:rsidRPr="00B01BD7" w:rsidRDefault="00253D07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B01BD7" w:rsidRDefault="0097110F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BD2893" w:rsidP="00BD2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</w:p>
        </w:tc>
      </w:tr>
      <w:tr w:rsidR="00253D07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оборудования для формирования навыков безопасного поведения на 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253D07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  <w:r w:rsidR="00253D07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B01BD7" w:rsidRDefault="00253D07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2506BF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1F9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2506BF" w:rsidRPr="00B01BD7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9,646</w:t>
            </w:r>
          </w:p>
        </w:tc>
      </w:tr>
      <w:tr w:rsidR="00BD208B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F46184" w:rsidP="00F46184">
            <w:pPr>
              <w:tabs>
                <w:tab w:val="left" w:pos="878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BD208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2021 -2023</w:t>
            </w:r>
            <w:r w:rsidR="00BD208B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D42482" w:rsidRPr="00B01BD7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01BD7" w:rsidRDefault="00095679" w:rsidP="00F46184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036</w:t>
            </w:r>
          </w:p>
        </w:tc>
      </w:tr>
      <w:tr w:rsidR="00474BBE" w:rsidRPr="00540017" w:rsidTr="00C64200">
        <w:tc>
          <w:tcPr>
            <w:tcW w:w="9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F46184" w:rsidP="00F4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67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одпрограмма «Чистая вода на 2021-2023 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годы».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7.1.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разработанной проектно-сметной документации на объекты водоснабжения,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D65518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7.2.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доли населения округа Муром, обеспеченного качественной питьевой водой из систем централизованного водоснабжения,%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474BBE" w:rsidRPr="00B01BD7" w:rsidTr="00C642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D65518" w:rsidP="00B7640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7.3.</w:t>
            </w:r>
            <w:r w:rsidR="00474BBE"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объектов водоснабжения для обеспечения населения округа качественной питьевой водой,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095679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BE" w:rsidRPr="00B01BD7" w:rsidRDefault="00474BBE" w:rsidP="00B76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41EA3" w:rsidRPr="00B01BD7" w:rsidRDefault="00441EA3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B01BD7" w:rsidRDefault="007540FE" w:rsidP="00032CDD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lastRenderedPageBreak/>
        <w:t>Порядок и</w:t>
      </w:r>
      <w:r w:rsidR="00032CDD" w:rsidRPr="00B01BD7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муниципальной 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DC5BE3" w:rsidRPr="00540017" w:rsidTr="001C45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DC5BE3" w:rsidRPr="00B01BD7" w:rsidTr="001C45C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муниципальной 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Соответствие цели 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1" w:name="Par2128"/>
            <w:bookmarkEnd w:id="1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Par2135"/>
            <w:bookmarkEnd w:id="2"/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Программы 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Наличие в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Программе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lastRenderedPageBreak/>
              <w:t>1. Показатели отражены в Программе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Соответствие достигнутых в отчетном году результатов плановым показателям, утвержденным в Программе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Программы (подпрограммы)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5BE3" w:rsidRPr="00B01BD7" w:rsidTr="001C45C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C5BE3" w:rsidRPr="00B01BD7" w:rsidTr="001C45C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BE3" w:rsidRPr="00B01BD7" w:rsidRDefault="00DC5BE3" w:rsidP="00DC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C5BE3" w:rsidRPr="00B01BD7" w:rsidRDefault="00DC5BE3" w:rsidP="00DC5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муниципальной Программы проводится в соответствии с нижеприведенной методикой.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Оценка бюджетной эффективности реализации основных мероприятий </w:t>
      </w:r>
      <w:r w:rsidRPr="00B01BD7">
        <w:rPr>
          <w:rFonts w:ascii="Times New Roman" w:hAnsi="Times New Roman"/>
          <w:sz w:val="28"/>
          <w:szCs w:val="28"/>
          <w:lang w:val="ru-RU"/>
        </w:rPr>
        <w:lastRenderedPageBreak/>
        <w:t>муниципальной 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Программы производится с учетом следующих составляющих: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программы;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установленное 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r2216"/>
      <w:bookmarkEnd w:id="3"/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lastRenderedPageBreak/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Программы признается неудовлетворительной.</w:t>
      </w:r>
    </w:p>
    <w:p w:rsidR="00DC5BE3" w:rsidRPr="00B01BD7" w:rsidRDefault="00DC5BE3" w:rsidP="00DC5B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274"/>
      <w:bookmarkEnd w:id="4"/>
      <w:r w:rsidRPr="00B01BD7">
        <w:rPr>
          <w:rFonts w:ascii="Times New Roman" w:hAnsi="Times New Roman"/>
          <w:sz w:val="28"/>
          <w:szCs w:val="28"/>
          <w:lang w:val="ru-RU"/>
        </w:rPr>
        <w:t xml:space="preserve">Ответственный исполнитель Программы ежегодно к 10 февраля года, следующего за отчетным, представляют в отдел экономики администрации округа </w:t>
      </w:r>
      <w:hyperlink w:anchor="Par2299" w:history="1">
        <w:r w:rsidRPr="00B01BD7">
          <w:rPr>
            <w:rFonts w:ascii="Times New Roman" w:hAnsi="Times New Roman"/>
            <w:sz w:val="28"/>
            <w:szCs w:val="28"/>
            <w:lang w:val="ru-RU"/>
          </w:rPr>
          <w:t>сведения</w:t>
        </w:r>
      </w:hyperlink>
      <w:r w:rsidRPr="00B01BD7">
        <w:rPr>
          <w:rFonts w:ascii="Times New Roman" w:hAnsi="Times New Roman"/>
          <w:sz w:val="28"/>
          <w:szCs w:val="28"/>
          <w:lang w:val="ru-RU"/>
        </w:rPr>
        <w:t xml:space="preserve"> об эффективности реализации Программы за прошедший год согласно приложению №3 к  постановлению администрации округа Муром от 27.08.2015 № 1690 «О Порядке разработки, реализации и оценки эффективности муниципальных программ округа Муром» для осуществления балльной оценки эффективности реализации Программы.</w:t>
      </w:r>
    </w:p>
    <w:p w:rsidR="00C018EA" w:rsidRPr="00B01BD7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184" w:rsidRPr="00B01BD7" w:rsidRDefault="00032CDD" w:rsidP="00F46184">
      <w:pPr>
        <w:pStyle w:val="ConsPlusNormal"/>
        <w:widowControl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032CDD" w:rsidRPr="00B01BD7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B01BD7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B01BD7" w:rsidRDefault="00032CDD" w:rsidP="009A76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Риск финансового обеспечения, который связан с финансированием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B01BD7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Pr="00B01BD7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B01BD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B01BD7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B01BD7" w:rsidRDefault="00032CDD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46184" w:rsidRPr="00B01BD7" w:rsidRDefault="00F46184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B01BD7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C018EA" w:rsidRPr="00B01BD7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B01BD7" w:rsidRDefault="00032CDD" w:rsidP="00732C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="008623BF" w:rsidRPr="00B01BD7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540017" w:rsidTr="00D65518">
        <w:trPr>
          <w:jc w:val="center"/>
        </w:trPr>
        <w:tc>
          <w:tcPr>
            <w:tcW w:w="2336" w:type="dxa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B01BD7" w:rsidTr="00D65518">
        <w:trPr>
          <w:jc w:val="center"/>
        </w:trPr>
        <w:tc>
          <w:tcPr>
            <w:tcW w:w="2336" w:type="dxa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B01BD7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03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69" w:type="dxa"/>
          </w:tcPr>
          <w:p w:rsidR="00032CDD" w:rsidRPr="00B01BD7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6551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084D69" w:rsidRPr="00B01BD7" w:rsidTr="00D65518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732C64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57300" w:rsidRPr="00B01BD7">
              <w:rPr>
                <w:rFonts w:ascii="Times New Roman" w:hAnsi="Times New Roman"/>
                <w:sz w:val="24"/>
                <w:szCs w:val="24"/>
                <w:lang w:val="ru-RU"/>
              </w:rPr>
              <w:t>302,619</w:t>
            </w:r>
          </w:p>
          <w:p w:rsidR="00084D69" w:rsidRPr="00B01BD7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084D69" w:rsidRPr="00B01BD7" w:rsidTr="00D65518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Протяженность автомобильных дорог общего пользования /протяженность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B01BD7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B01BD7" w:rsidTr="00D65518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3 040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B01BD7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B01BD7" w:rsidRDefault="009C460F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3 240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B01BD7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3D4E76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A16CF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16CF" w:rsidRPr="00B01BD7" w:rsidRDefault="009A16CF" w:rsidP="009A16CF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3D20" w:rsidRPr="00B01BD7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округа </w:t>
      </w:r>
    </w:p>
    <w:p w:rsidR="00C018EA" w:rsidRPr="00B01BD7" w:rsidRDefault="00DF4091">
      <w:pPr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Муром по ЖКХ, начальник Управления ЖКХ                        И.К.Федурин</w:t>
      </w:r>
    </w:p>
    <w:p w:rsidR="00F46184" w:rsidRDefault="00F46184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Title"/>
        <w:widowControl/>
        <w:numPr>
          <w:ilvl w:val="0"/>
          <w:numId w:val="13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0526C" w:rsidRPr="00B01BD7" w:rsidRDefault="00B0526C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0526C" w:rsidRPr="00B01BD7" w:rsidRDefault="00B0526C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01BD7">
        <w:rPr>
          <w:rFonts w:ascii="Times New Roman" w:hAnsi="Times New Roman" w:cs="Times New Roman"/>
          <w:bCs w:val="0"/>
          <w:sz w:val="28"/>
          <w:szCs w:val="28"/>
        </w:rPr>
        <w:t xml:space="preserve"> НА 2021-2023 ГОДЫ»</w:t>
      </w:r>
    </w:p>
    <w:p w:rsidR="000D25F8" w:rsidRPr="00B01BD7" w:rsidRDefault="000D25F8" w:rsidP="00B0526C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на 2021-2023 годы»</w:t>
      </w:r>
    </w:p>
    <w:p w:rsidR="000D25F8" w:rsidRPr="00B01BD7" w:rsidRDefault="000D25F8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Муром на 2021-2023 годы»</w:t>
            </w:r>
          </w:p>
        </w:tc>
      </w:tr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 и скверах -                 1 302,619 тыс. 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- 195,0  км;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="00973747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B0526C" w:rsidRPr="00B01BD7" w:rsidRDefault="00B0526C" w:rsidP="004F79F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документации-6 ед.;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B01BD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Всего: 294 667,9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293 974,0 тыс. 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бюджет- 693,9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г. – 86 737,06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86 505,76 тыс. 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231,3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г. – 100 409,67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Муром- 100 178,37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 – 231,3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 – 107 521,17 тыс. руб., в том числе: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107 289,87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Областной бюджет – 231,3  тыс. руб.</w:t>
            </w:r>
          </w:p>
        </w:tc>
      </w:tr>
      <w:tr w:rsidR="00B0526C" w:rsidRPr="00540017" w:rsidTr="004F79F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0526C" w:rsidRPr="00B01BD7" w:rsidRDefault="00B0526C" w:rsidP="004F79F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0526C" w:rsidRPr="00B01BD7" w:rsidRDefault="00B0526C" w:rsidP="004F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526C" w:rsidRPr="00B01BD7" w:rsidRDefault="00B0526C" w:rsidP="00B0526C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благоустройства и санитарного содержания территории решением Совета народных депутатов округа Муром от 29.08.2017 г № 378 утверждены Правила 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парков общей площадью 373,1 тыс. 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0526C" w:rsidRPr="00B01BD7" w:rsidRDefault="00B0526C" w:rsidP="00B0526C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 Ежедневно обслуживаются памятники, стелы и монументы в количестве 28 ед.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0526C" w:rsidRPr="00B01BD7" w:rsidRDefault="00B0526C" w:rsidP="00B0526C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B01BD7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Начиная с 2014 года ежегодно проводится масштабная реконструкция системы уличного освещения, в результате которой на 83 %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Для 100% завершения модернизации уличного освещения в округе Муром необходимо заменить оставшиеся 17% светильников с лампами ДНаТ мощностью 250 Вт на энергосберегающие светодиодные, обеспечивающие больший световой поток. 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сетей уличного освещения – 195,0 км;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светильников – 6 190 шт.;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Программные мероприятия включают в себя модернизацию уличного освещения, эксплуатацию и текущий ремонт сетей наружного освещения, а также электроснабжение округа. 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B01BD7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B01BD7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</w:t>
      </w:r>
      <w:r w:rsidR="000D7263">
        <w:rPr>
          <w:rFonts w:ascii="Times New Roman" w:hAnsi="Times New Roman"/>
          <w:sz w:val="28"/>
          <w:szCs w:val="28"/>
          <w:lang w:val="ru-RU"/>
        </w:rPr>
        <w:t>рок реализации подпрограммы 2021-2023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0D2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1.Создание условий для реализации подпрограммы.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и Управления «Муниципальная инспекция администрации округа Муром».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2.Обеспечение мероприятий по благоустройству и озеленению территории округа Муром. Данное мероприятие реализуется по следующим направлениям: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-Расходы на обеспечение деятельности учреждений по благоустройству территории.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3.Техническое обслуживание и энергоснабжение сетей уличного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>освещения округа. В рамках данного мероприятия запланированы расходы на организацию, содержание и эксплуатацию  сетей уличного освещения.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>4. Отлов, подбор и утилизация безнадзорных животных.</w:t>
      </w:r>
      <w:r w:rsidRPr="00540017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 w:eastAsia="ar-SA"/>
        </w:rPr>
        <w:t>В рамках данного мероприятия предусмотрено выполнение государственных полномочий по организации мероприятий при осуществлении деятельности по обращению с животными без владельцев.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B01BD7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мероприятий подпрограммы «Благоустройство территории округа Муром на 2021-2023 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0526C" w:rsidRPr="00B01BD7" w:rsidRDefault="00B0526C" w:rsidP="000D25F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0526C" w:rsidRPr="00B01BD7" w:rsidRDefault="00B0526C" w:rsidP="000D25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294 667,9 тыс. руб. </w:t>
      </w:r>
      <w:r w:rsidRPr="00B01BD7"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таблице №1.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</w:rPr>
        <w:t>Таблица № 1</w:t>
      </w: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0526C" w:rsidRPr="00540017" w:rsidTr="004F79F1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подпрограммы,</w:t>
            </w:r>
          </w:p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294 667,9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86 737,06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100 409</w:t>
            </w: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107 521,17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293 974,0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86 505,76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100 178,37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107 289,87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693,9*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231,3*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  <w:r w:rsidR="000D25F8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0526C" w:rsidRPr="00B01BD7" w:rsidRDefault="00B0526C" w:rsidP="00B052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0526C" w:rsidRPr="00B01BD7" w:rsidTr="004F79F1">
        <w:trPr>
          <w:jc w:val="center"/>
        </w:trPr>
        <w:tc>
          <w:tcPr>
            <w:tcW w:w="3386" w:type="dxa"/>
            <w:vMerge w:val="restart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vMerge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195,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546" w:type="dxa"/>
          </w:tcPr>
          <w:p w:rsidR="00B0526C" w:rsidRPr="00B01BD7" w:rsidRDefault="00C81600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</w:tr>
      <w:tr w:rsidR="00B0526C" w:rsidRPr="00B01BD7" w:rsidTr="004F79F1">
        <w:trPr>
          <w:jc w:val="center"/>
        </w:trPr>
        <w:tc>
          <w:tcPr>
            <w:tcW w:w="338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54001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8B93895" wp14:editId="44BC5DF5">
            <wp:extent cx="11811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96D51D4" wp14:editId="41E8F2FB">
            <wp:extent cx="1790700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 wp14:anchorId="20BE4D2B" wp14:editId="3FA33720">
            <wp:extent cx="16668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0526C" w:rsidRPr="00B01BD7" w:rsidRDefault="00B0526C" w:rsidP="00B0526C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0526C" w:rsidRPr="00540017" w:rsidTr="004F79F1">
        <w:trPr>
          <w:jc w:val="center"/>
        </w:trPr>
        <w:tc>
          <w:tcPr>
            <w:tcW w:w="2368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2368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2368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</w:tc>
        <w:tc>
          <w:tcPr>
            <w:tcW w:w="127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</w:tc>
        <w:tc>
          <w:tcPr>
            <w:tcW w:w="1275" w:type="dxa"/>
          </w:tcPr>
          <w:p w:rsidR="00B0526C" w:rsidRPr="00B01BD7" w:rsidRDefault="00B0526C" w:rsidP="004F79F1">
            <w:pPr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1302,619</w:t>
            </w:r>
          </w:p>
          <w:p w:rsidR="00B0526C" w:rsidRPr="00B01BD7" w:rsidRDefault="00B0526C" w:rsidP="004F79F1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B01BD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0D25F8" w:rsidRDefault="000D25F8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7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ОКРУГА МУРОМ НА  2021 -2023 ГОДЫ».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благоустройство округа Муром на 2021-2023 годы»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«Модернизация объектов коммунальной инфраструктуры округа Муром на 2021 – 2023 годы». 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0526C" w:rsidRPr="00B01BD7" w:rsidRDefault="00B0526C" w:rsidP="004F7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документов инженерного обеспечения, подлежащих разработке и актуализации-6 ед;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сетей водоотведения, подлежащих м</w:t>
            </w:r>
            <w:r w:rsidR="001A5AB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дернизации-0,469 км.</w:t>
            </w:r>
          </w:p>
        </w:tc>
      </w:tr>
      <w:tr w:rsidR="00B0526C" w:rsidRPr="00B01BD7" w:rsidTr="004F79F1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54001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2021-2023 гг. – 32 180,6 тыс. руб. за счет средств бюджета округа Муром; в том числе: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 -4 382,1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 – 27 798,5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– 32 028,6 тыс. руб.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счет средств бюджета округа Муром -4 230,1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 – 27 798,5 тыс. руб.;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- 76,0 тыс. руб. за счет средств бюджета округа Муром;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- 76,0 тыс. руб. за счет средств бюджета округа Муром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муниципальной собственности округа Муром имеются следующие  объекты инфраструктуры. (информация приведена в таблица №1):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221,215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B0526C" w:rsidRPr="00B01BD7" w:rsidTr="004F79F1">
        <w:tc>
          <w:tcPr>
            <w:tcW w:w="615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B0526C" w:rsidRPr="00B01BD7" w:rsidRDefault="00B0526C" w:rsidP="00B052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Разработка комплексных схем инженерного обеспечения округа Муром. В рамках данного мероприятия планируется осуществить ежегодную актуализацию схем теплоснабжения, водоснабжения и водоотведения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Строительство, реконструкция и техническое перевооружение объектов водоснабжения и водоотведения. В рамках данного мероприятия планируется осуществить работы по следующим объекта: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ул.Московская (от ул.Кооперативная до д.№107 по ул.Московская) протяженностью 0,13 км.;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ул.Ямская (от д.№13 по ул.Ямская) протяженность. 0,135 км.;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ул.Владимирская (от д.№8А по ул.Владимирская до врезки в коллектор d=1000мм. по ул.Московская) протяженностью 0,204 км.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Данные работы будут проведены с целью улучшения качества водоотведения населения округа, сокращения износа коммуникаций, уменьшение аварийности на сетях.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0D2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4. Ресурсное обеспечение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32 180,6 тыс. руб.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 представлено в таблице №2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</w:rPr>
        <w:t xml:space="preserve"> </w:t>
      </w:r>
    </w:p>
    <w:p w:rsidR="000D25F8" w:rsidRPr="00B01BD7" w:rsidRDefault="000D25F8" w:rsidP="00B0526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0526C" w:rsidRPr="00540017" w:rsidTr="004F79F1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32 180,6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32 028,6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4 382,1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4 230,1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27 798,5*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27 798,5*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01BD7">
        <w:rPr>
          <w:rFonts w:ascii="Times New Roman" w:hAnsi="Times New Roman"/>
          <w:sz w:val="28"/>
          <w:szCs w:val="28"/>
        </w:rPr>
        <w:t>Таблица 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B0526C" w:rsidRPr="00B01BD7" w:rsidTr="004F79F1">
        <w:trPr>
          <w:jc w:val="center"/>
        </w:trPr>
        <w:tc>
          <w:tcPr>
            <w:tcW w:w="3983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3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7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2.Протяженность сетей водоотведения, подлежащих модернизации,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</w:tr>
    </w:tbl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A34FC0" w:rsidRPr="00B01BD7" w:rsidRDefault="00A34FC0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54001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Pr="00B01BD7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25F8" w:rsidRDefault="000D25F8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4FC0" w:rsidRPr="00B01BD7" w:rsidRDefault="00A34FC0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3. ПОДПРОГРАММА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«</w:t>
      </w:r>
      <w:r w:rsidR="000D25F8" w:rsidRPr="00B01BD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7964">
        <w:rPr>
          <w:rFonts w:ascii="Times New Roman" w:hAnsi="Times New Roman"/>
          <w:b/>
          <w:sz w:val="28"/>
          <w:szCs w:val="28"/>
          <w:lang w:val="ru-RU"/>
        </w:rPr>
        <w:t>ОБЕСПЕЧЕНИЕ  ДОСТУПНОСТИ</w:t>
      </w:r>
      <w:r w:rsidR="008463F8">
        <w:rPr>
          <w:rFonts w:ascii="Times New Roman" w:hAnsi="Times New Roman"/>
          <w:b/>
          <w:sz w:val="28"/>
          <w:szCs w:val="28"/>
          <w:lang w:val="ru-RU"/>
        </w:rPr>
        <w:t xml:space="preserve"> УСЛУГ</w:t>
      </w:r>
      <w:r w:rsidR="003679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b/>
          <w:sz w:val="28"/>
          <w:szCs w:val="28"/>
          <w:lang w:val="ru-RU"/>
        </w:rPr>
        <w:t xml:space="preserve"> ОБЩЕСТВЕННОГО ТРАНСПОРТА В ОКРУГЕ МУРОМ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 xml:space="preserve"> НА 2021-2023 ГОДЫ»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0526C" w:rsidRPr="00B01BD7" w:rsidRDefault="00B0526C" w:rsidP="00F4618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на 2021-2023 годы»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 «Обеспечение доступности </w:t>
            </w:r>
            <w:r w:rsidR="004D08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услуг </w:t>
            </w:r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общественного  транспорта для граждан  округа Муром на 2021-2023 годы».</w:t>
            </w:r>
          </w:p>
        </w:tc>
      </w:tr>
      <w:tr w:rsidR="00B0526C" w:rsidRPr="00B01BD7" w:rsidTr="004F79F1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0526C" w:rsidRPr="00B01BD7" w:rsidRDefault="00B0526C" w:rsidP="004F79F1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приобретенных  билетов школьниками, студентами воспользовавшихся услугами общественного транспорта- 10 914 шт..;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2.Количество билетов по льготным категориям граждан   воспользовавшихся услугами общественного транспорт</w:t>
            </w:r>
            <w:r w:rsidR="00926E1E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пенсионеры- 83 096</w:t>
            </w: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3.Приобретение льготных социальных билетов отдельными категориями граждан- 106 851 шт.</w:t>
            </w:r>
          </w:p>
        </w:tc>
      </w:tr>
      <w:tr w:rsidR="00B0526C" w:rsidRPr="00B01BD7" w:rsidTr="004F79F1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540017" w:rsidTr="004F79F1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 гг.: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56 592, 4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Муром- 26 444,5 тыс. руб., Областной бюджет- 30 147,9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Всего- 19 642, 6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Муром- 9 593,3 тыс. руб. Областной бюджет- 10 049,3 тыс. руб.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Всего- 18 474,9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Муром- 8 425,6 тыс. руб., Областной бюджет- 10 049,3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Всего- 18 474,9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Муром- 8 425,6 тыс. руб., Областной бюджет- 10 049,3 тыс. руб.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B01BD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0526C" w:rsidRPr="00B01BD7" w:rsidRDefault="00B0526C" w:rsidP="00B052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B01BD7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B01BD7">
        <w:rPr>
          <w:rFonts w:ascii="Times New Roman" w:hAnsi="Times New Roman"/>
          <w:sz w:val="28"/>
          <w:szCs w:val="28"/>
          <w:lang w:eastAsia="zh-CN"/>
        </w:rPr>
        <w:t> </w:t>
      </w:r>
      <w:r w:rsidRPr="00B01BD7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>Регулярные перевозки пассажиров в городском и пригородном сообщении округа Муром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0526C" w:rsidRPr="00B01BD7" w:rsidRDefault="00B0526C" w:rsidP="00B0526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01BD7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B01BD7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истекший год составил 10,3</w:t>
      </w:r>
      <w:r w:rsidRPr="00B01BD7">
        <w:rPr>
          <w:rFonts w:ascii="Times New Roman" w:hAnsi="Times New Roman"/>
          <w:sz w:val="28"/>
          <w:szCs w:val="28"/>
        </w:rPr>
        <w:t> 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B01BD7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 льготных категорий граждан осуществляется на автобусных маршрутах при предъявлении соответствующих документов.</w:t>
      </w: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B01BD7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0D25F8" w:rsidRPr="00B01BD7" w:rsidRDefault="000D25F8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0526C" w:rsidRPr="00B01BD7" w:rsidRDefault="00B0526C" w:rsidP="00B0526C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B01BD7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1.1.Организация проезда обучающихся в общеобразовательных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10 914 шт. за период действия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1.2.Обеспечение равной доступности услуг общественного транспорта на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пенсионер</w:t>
      </w:r>
      <w:r w:rsidR="00131EBE">
        <w:rPr>
          <w:rFonts w:ascii="Times New Roman" w:hAnsi="Times New Roman"/>
          <w:sz w:val="28"/>
          <w:szCs w:val="28"/>
          <w:lang w:val="ru-RU"/>
        </w:rPr>
        <w:t>ы, в количестве  83 096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1.3.Финансирование мероприятий  по обеспечению равной доступности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106 851 шт.  за период действия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для граждан  округа Муром на 2021-2023 годы» изложен в приложении к муниципальной программе.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uppressAutoHyphens/>
        <w:spacing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56 592,4 тыс. руб.       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0526C" w:rsidRPr="00540017" w:rsidTr="004F79F1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56 592,4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19 642,6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18 474,9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18474,9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26 444,5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9 593,3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8 425,6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8 425,6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30 147,9*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10 049,3*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01BD7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 приведены в таблице №2.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Таблица</w:t>
      </w:r>
      <w:r w:rsidRPr="00B01BD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BD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0526C" w:rsidRPr="00B01BD7" w:rsidTr="004F79F1"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B01BD7" w:rsidTr="004F79F1">
        <w:trPr>
          <w:trHeight w:val="1107"/>
        </w:trPr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3 638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6C" w:rsidRPr="00B01BD7" w:rsidRDefault="00B0526C" w:rsidP="004F79F1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0 914</w:t>
            </w:r>
          </w:p>
        </w:tc>
      </w:tr>
      <w:tr w:rsidR="00B0526C" w:rsidRPr="00B01BD7" w:rsidTr="004F79F1">
        <w:tc>
          <w:tcPr>
            <w:tcW w:w="2694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26C" w:rsidRPr="00B01BD7" w:rsidRDefault="00B0526C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6C" w:rsidRPr="00B01BD7" w:rsidRDefault="008044FB" w:rsidP="008044F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83 096</w:t>
            </w:r>
          </w:p>
        </w:tc>
      </w:tr>
      <w:tr w:rsidR="00B0526C" w:rsidRPr="00B01BD7" w:rsidTr="004F7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35 617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106 851</w:t>
            </w:r>
          </w:p>
        </w:tc>
      </w:tr>
    </w:tbl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4FC0" w:rsidRPr="00B01BD7" w:rsidRDefault="00A34FC0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54001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F46184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B0526C" w:rsidRPr="00B01BD7" w:rsidRDefault="00B0526C" w:rsidP="00B0526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0526C" w:rsidRPr="00B01BD7" w:rsidRDefault="00B0526C" w:rsidP="00B0526C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873D3" w:rsidRDefault="00B0526C" w:rsidP="00B0526C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0526C" w:rsidRPr="009873D3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873D3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Default="000D25F8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9873D3" w:rsidRDefault="00B0526C" w:rsidP="00F84928">
      <w:pPr>
        <w:widowControl w:val="0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9873D3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4. ПОДПРОГРАММА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«ОБЕСПЕЧЕНИЕ БЕЗОПАСНОСТИ ДОРОЖНОГО ДВИЖЕНИЯ И ТРАНСПОРТНОГО ОБСЛУЖИВАНИЯ НАСЕЛЕНИЯ НА ТЕРРИТОРИИ ОКРУГА МУРОМ НА 2021-2023 ГОДЫ»</w:t>
      </w:r>
    </w:p>
    <w:p w:rsidR="00B0526C" w:rsidRPr="00B01BD7" w:rsidRDefault="00B0526C" w:rsidP="00B0526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на 2021-2023 годы»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0D25F8" w:rsidRPr="00B01BD7" w:rsidRDefault="000D25F8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 территории округа Муром на 2021-2023 годы».</w:t>
            </w:r>
          </w:p>
        </w:tc>
      </w:tr>
      <w:tr w:rsidR="00B0526C" w:rsidRPr="00540017" w:rsidTr="004F79F1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</w:t>
            </w:r>
            <w:r w:rsidR="000D25F8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0526C" w:rsidRPr="00B01BD7" w:rsidRDefault="00B0526C" w:rsidP="004F79F1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B0526C" w:rsidRPr="00B01BD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0D25F8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правового сознания в предупреждении опасного поведения участников дорожного движения;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2.Приведение  автомобильных дорог общего пользования местного значения в надлежащее состояние.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1.Протяженность автомобильных дорог общего пользования местного значения/протяженность тротуаров- 1 166,68/437,227  тыс.м</w:t>
            </w:r>
            <w:r w:rsidRPr="00B01B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установленных дорожных знаков и подлежащих ежегодно техническому об</w:t>
            </w:r>
            <w:r w:rsidR="00804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служиванию к 2023 г.- 1050/ 3 240 </w:t>
            </w:r>
            <w:r w:rsidRPr="00B01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3.Количество светофоров, подлежащих техническому обслуживанию – 31 ед.;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4.Количество приобретенного оборудования для формирования навыков безопасного поведения на улично-дорожной сети- 6 ед.;</w:t>
            </w:r>
          </w:p>
        </w:tc>
      </w:tr>
      <w:tr w:rsidR="00B0526C" w:rsidRPr="00B01BD7" w:rsidTr="004F79F1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540017" w:rsidTr="004F79F1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2021-2023 гг.: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203 185, 07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203 185,07 тыс. руб., в том числе местный дорожный фонд-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199 147,0 тыс.руб.;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64 919, 67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64 919,67 тыс. руб.,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 –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64 483,0 тыс.руб.;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68 528,2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68 528,2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фонд-66 823,0 тыс.руб.;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год: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69 737,2 тыс. руб., 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 – 69 737,2 тыс. руб.,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 – 67 841,0 тыс.руб.</w:t>
            </w:r>
          </w:p>
        </w:tc>
      </w:tr>
      <w:tr w:rsidR="00B0526C" w:rsidRPr="00540017" w:rsidTr="004F79F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 обеспечить к 2023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B01BD7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B0526C" w:rsidRPr="00B01BD7" w:rsidRDefault="00B0526C" w:rsidP="00B0526C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B0526C" w:rsidRPr="00B01BD7" w:rsidRDefault="00B0526C" w:rsidP="00B0526C">
      <w:pPr>
        <w:pStyle w:val="a9"/>
        <w:suppressAutoHyphens/>
        <w:spacing w:after="0"/>
        <w:ind w:firstLine="720"/>
        <w:jc w:val="both"/>
        <w:rPr>
          <w:sz w:val="28"/>
          <w:szCs w:val="28"/>
          <w:lang w:val="ru-RU"/>
        </w:rPr>
      </w:pPr>
      <w:r w:rsidRPr="00B01BD7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B01BD7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B0526C" w:rsidRPr="00B01BD7" w:rsidRDefault="00B0526C" w:rsidP="00B0526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B01BD7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 В рамках данной муниципальной подпрограммы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01BD7">
        <w:rPr>
          <w:rFonts w:ascii="Times New Roman" w:hAnsi="Times New Roman"/>
          <w:sz w:val="28"/>
          <w:szCs w:val="28"/>
          <w:lang w:val="ru-RU"/>
        </w:rPr>
        <w:tab/>
        <w:t>Утверждение подпрограммы «По обеспечению безопасности дорожного движения и транспортного обслуживания населения на территории округа Муром на 2021-2023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0526C" w:rsidRPr="00B01BD7" w:rsidRDefault="00B0526C" w:rsidP="00B052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B01BD7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B0526C" w:rsidRPr="00B01BD7" w:rsidRDefault="00B0526C" w:rsidP="00B0526C">
      <w:pPr>
        <w:pStyle w:val="ConsPlusNormal"/>
        <w:widowControl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B0526C" w:rsidRPr="00B01BD7" w:rsidRDefault="00B0526C" w:rsidP="00B0526C">
      <w:pPr>
        <w:pStyle w:val="ConsPlusNormal"/>
        <w:widowControl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B0526C" w:rsidRPr="00B01BD7" w:rsidRDefault="00B0526C" w:rsidP="00B0526C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осуществить в течении трех лет (2021 – 2023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Срок реализации подпрограммы 2021 – 2023 годы.</w:t>
      </w:r>
    </w:p>
    <w:p w:rsidR="00B0526C" w:rsidRPr="00B01BD7" w:rsidRDefault="00B0526C" w:rsidP="00B0526C">
      <w:p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0526C" w:rsidRPr="00B01BD7" w:rsidRDefault="00B0526C" w:rsidP="00B052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B0526C" w:rsidRPr="00B01BD7" w:rsidRDefault="00B0526C" w:rsidP="00B0526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1.1.Расходы на обеспечение деятельности (оказание услуг) учреждений в сфере дорожного хозяйства предусмотренные на  установку дорожных знаков в количестве 1 050 ед.  за период действия программы, на техническое обслуживание дорожных знак</w:t>
      </w:r>
      <w:r w:rsidR="0079132B">
        <w:rPr>
          <w:rFonts w:ascii="Times New Roman" w:hAnsi="Times New Roman"/>
          <w:sz w:val="28"/>
          <w:szCs w:val="28"/>
          <w:lang w:val="ru-RU"/>
        </w:rPr>
        <w:t>ов к 2023 году в количестве 3 240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ед. , на содержание светофорных объектов в количестве 31 ед. ежегодно и содержание автомобильных дорог и тротуаров  в объеме 1166,68/437,227 тыс.м</w:t>
      </w:r>
      <w:r w:rsidRPr="00B01BD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ежегодно.</w:t>
      </w:r>
    </w:p>
    <w:p w:rsidR="00B0526C" w:rsidRPr="00B01BD7" w:rsidRDefault="00B0526C" w:rsidP="00B0526C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1.2.Приобретение спец.оборудования для оказания помощи при ДТП в количестве 6 единиц за период действия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 территории округа Муром на 202</w:t>
      </w:r>
      <w:r w:rsidR="00F1769F">
        <w:rPr>
          <w:rFonts w:ascii="Times New Roman" w:hAnsi="Times New Roman"/>
          <w:sz w:val="28"/>
          <w:szCs w:val="28"/>
          <w:lang w:val="ru-RU"/>
        </w:rPr>
        <w:t>1-2023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  <w:r w:rsidR="00F46184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На реализацию подпрограммы планируется направить  203 185,07 тыс. руб.</w:t>
      </w:r>
    </w:p>
    <w:p w:rsidR="000D25F8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представлено в таблице №1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</w:rPr>
        <w:t>Таблица №1</w:t>
      </w:r>
    </w:p>
    <w:p w:rsidR="000D25F8" w:rsidRPr="00B01BD7" w:rsidRDefault="000D25F8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06"/>
        <w:gridCol w:w="1701"/>
        <w:gridCol w:w="1638"/>
        <w:gridCol w:w="1417"/>
      </w:tblGrid>
      <w:tr w:rsidR="00B0526C" w:rsidRPr="00540017" w:rsidTr="004F79F1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 финансирования подпрограммы,</w:t>
            </w:r>
          </w:p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B0526C" w:rsidRPr="00B01BD7" w:rsidTr="004F79F1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2021 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203 185,07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64 919,67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68 528,2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69 737,2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 округа Муром, в т.ч.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203 185,07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64 919,67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68 528,2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69 737,2</w:t>
            </w:r>
          </w:p>
        </w:tc>
      </w:tr>
      <w:tr w:rsidR="00B0526C" w:rsidRPr="00B01BD7" w:rsidTr="004F79F1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дорожный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199 147,0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64 483,0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66 823,0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67 841,0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01BD7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B0526C" w:rsidRPr="00B01BD7" w:rsidRDefault="00B0526C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0D25F8" w:rsidRPr="00B01BD7" w:rsidRDefault="000D25F8" w:rsidP="00B0526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526C" w:rsidRPr="00B01BD7" w:rsidRDefault="00B0526C" w:rsidP="00B0526C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B01BD7">
        <w:rPr>
          <w:rFonts w:ascii="Times New Roman" w:hAnsi="Times New Roman"/>
          <w:color w:val="000000"/>
          <w:sz w:val="28"/>
          <w:szCs w:val="28"/>
        </w:rPr>
        <w:t>Таблица</w:t>
      </w:r>
      <w:r w:rsidRPr="00B01BD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01BD7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559"/>
        <w:gridCol w:w="1418"/>
        <w:gridCol w:w="1530"/>
        <w:gridCol w:w="1588"/>
      </w:tblGrid>
      <w:tr w:rsidR="00B0526C" w:rsidRPr="00B01BD7" w:rsidTr="004F79F1">
        <w:tc>
          <w:tcPr>
            <w:tcW w:w="343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559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8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2021-20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23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0526C" w:rsidRPr="00B01BD7" w:rsidTr="004F79F1">
        <w:tc>
          <w:tcPr>
            <w:tcW w:w="3431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1.Протяженность автомобильных дорог общего пользования местного значения/протяженность тротуаров, 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41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530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588" w:type="dxa"/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B0526C" w:rsidRPr="00B01BD7" w:rsidTr="004F79F1"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2.Количество установленных дорожных знаков, 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дорожных знаков, подлежащих техническому обслуживанию,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31661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3 1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316616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светофоров, подлежащих техническому обслуживанию,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C" w:rsidRPr="00B01BD7" w:rsidRDefault="00B0526C" w:rsidP="004F79F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B0526C" w:rsidRPr="00B01BD7" w:rsidRDefault="00B0526C" w:rsidP="00B0526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5670"/>
        <w:gridCol w:w="1483"/>
      </w:tblGrid>
      <w:tr w:rsidR="00B0526C" w:rsidRPr="00540017" w:rsidTr="004F79F1">
        <w:trPr>
          <w:trHeight w:val="15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0D25F8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</w:t>
      </w:r>
      <w:r w:rsidR="00F46184" w:rsidRPr="00B01BD7">
        <w:rPr>
          <w:rFonts w:ascii="Times New Roman" w:hAnsi="Times New Roman" w:cs="Times New Roman"/>
          <w:sz w:val="28"/>
          <w:szCs w:val="28"/>
        </w:rPr>
        <w:t>рисками реализации подпрограммы.</w:t>
      </w:r>
    </w:p>
    <w:p w:rsidR="00B0526C" w:rsidRPr="00B01BD7" w:rsidRDefault="00B0526C" w:rsidP="00B0526C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25F8" w:rsidRPr="00B01BD7" w:rsidRDefault="000D25F8" w:rsidP="00B052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F46184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B0526C" w:rsidRPr="00540017" w:rsidTr="004F79F1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B01BD7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B0526C" w:rsidRPr="00B01BD7" w:rsidTr="004F79F1">
        <w:trPr>
          <w:trHeight w:val="438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3040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40/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4B4979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</w:p>
          <w:p w:rsidR="00B0526C" w:rsidRPr="00B01BD7" w:rsidRDefault="00B0526C" w:rsidP="004F79F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350/31</w:t>
            </w:r>
          </w:p>
        </w:tc>
      </w:tr>
    </w:tbl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F84928" w:rsidRPr="00B01BD7" w:rsidRDefault="00F8492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B0526C" w:rsidRPr="00B01BD7" w:rsidRDefault="00B0526C" w:rsidP="00B0526C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1BD7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2023 ГОДА»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2021-2023 годы»</w:t>
      </w:r>
      <w:r w:rsidR="00DE1136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13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031"/>
      </w:tblGrid>
      <w:tr w:rsidR="00B0526C" w:rsidRPr="0054001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2023 года» </w:t>
            </w:r>
          </w:p>
        </w:tc>
      </w:tr>
      <w:tr w:rsidR="00B0526C" w:rsidRPr="00B01BD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526C" w:rsidRPr="00B01BD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rPr>
          <w:trHeight w:val="35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B0526C" w:rsidRPr="00540017" w:rsidTr="004F79F1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B0526C" w:rsidRPr="00540017" w:rsidTr="004F79F1">
        <w:trPr>
          <w:trHeight w:val="101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 сетей инженерно-транспортной инфраструктуры к земельным участкам- 9,646 км.</w:t>
            </w:r>
          </w:p>
        </w:tc>
      </w:tr>
      <w:tr w:rsidR="00B0526C" w:rsidRPr="00540017" w:rsidTr="004F79F1">
        <w:trPr>
          <w:trHeight w:val="709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будет реализована в 2021 – 2023 годах.                               </w:t>
            </w:r>
          </w:p>
        </w:tc>
      </w:tr>
      <w:tr w:rsidR="00B0526C" w:rsidRPr="0054001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55 621,8 тыс.руб., в том числе: </w:t>
            </w:r>
          </w:p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7 231,5 тыс. руб. за счет средств местного бюджета;</w:t>
            </w:r>
          </w:p>
          <w:p w:rsidR="00B0526C" w:rsidRPr="00B01BD7" w:rsidRDefault="00B0526C" w:rsidP="004F79F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48 390,3 тыс.руб. за счет средств областного бюджета,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2021 год 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Всего - 31 187,8 тыс.руб.,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За счет средств местного бюджета- 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>4 055,0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- 27 132,8 тыс.руб.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2022 год: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Всего – 9 299,6 тыс.руб.,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бюджета- 1 209,0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– 8 090,6 тыс.руб.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   2023 год: 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>Всего – 15 134,4  тыс.руб., в том числе: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бюджета- 1 967,5 тыс. 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B01BD7">
              <w:rPr>
                <w:iCs/>
                <w:sz w:val="28"/>
                <w:szCs w:val="28"/>
                <w:lang w:val="ru-RU" w:eastAsia="ru-RU"/>
              </w:rPr>
              <w:t xml:space="preserve"> За счет средств областного бюджета – 13 166,9 тыс.руб.</w:t>
            </w:r>
          </w:p>
          <w:p w:rsidR="00B0526C" w:rsidRPr="00B01BD7" w:rsidRDefault="00B0526C" w:rsidP="004F79F1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</w:p>
        </w:tc>
      </w:tr>
      <w:tr w:rsidR="00B0526C" w:rsidRPr="00540017" w:rsidTr="004F79F1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26C" w:rsidRPr="00B01BD7" w:rsidRDefault="00B0526C" w:rsidP="004F79F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2023 году инженерной и транспортной инфраструктурой 189 земельных участков, предоставленных многодетным семьям, а именно - наружным электроснабжением, электроосвещением,  проездами с асфальтовым покрытием и водоснабжением.</w:t>
            </w:r>
          </w:p>
        </w:tc>
      </w:tr>
    </w:tbl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14pt"/>
        <w:jc w:val="both"/>
      </w:pPr>
      <w:r w:rsidRPr="00B01BD7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По состоянию на 01 июля 2020 года на территории округа Муром проживает 712 семей, имеющих троих и более несовершеннолетних детей, из них 163 семьи – изъявили желание получить земельные участки, из них 132 семьи получили земельные участки. 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80 000,0 тыс.руб. 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0D25F8" w:rsidRPr="00B01BD7" w:rsidRDefault="00B0526C" w:rsidP="000D25F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Формирование доступного жилья для обеспечения комфортных условий проживания,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B0526C" w:rsidRPr="00B01BD7" w:rsidRDefault="00B0526C" w:rsidP="00B052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B0526C" w:rsidRPr="00B01BD7" w:rsidRDefault="00B0526C" w:rsidP="00B0526C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Таблица № 1</w:t>
      </w:r>
    </w:p>
    <w:p w:rsidR="00B0526C" w:rsidRPr="00B01BD7" w:rsidRDefault="00B0526C" w:rsidP="00B0526C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1163"/>
        <w:gridCol w:w="1134"/>
        <w:gridCol w:w="1559"/>
      </w:tblGrid>
      <w:tr w:rsidR="00B0526C" w:rsidRPr="00B01BD7" w:rsidTr="004F79F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526C" w:rsidRPr="00B01BD7" w:rsidTr="004F79F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6C" w:rsidRPr="00B01BD7" w:rsidRDefault="00B0526C" w:rsidP="004F7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tabs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0526C" w:rsidRPr="00B01BD7" w:rsidTr="004F79F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Протяженность  сетей инженерно-транспортной инфраструктуры к земельным участкам,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9,646</w:t>
            </w:r>
          </w:p>
        </w:tc>
      </w:tr>
      <w:tr w:rsidR="00B0526C" w:rsidRPr="00B01BD7" w:rsidTr="004F79F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0,45</w:t>
            </w:r>
          </w:p>
        </w:tc>
      </w:tr>
      <w:tr w:rsidR="00B0526C" w:rsidRPr="00B01BD7" w:rsidTr="004F79F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Проезды с асфальтовым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5,096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6,196</w:t>
            </w:r>
          </w:p>
        </w:tc>
      </w:tr>
      <w:tr w:rsidR="00B0526C" w:rsidRPr="00B01BD7" w:rsidTr="004F79F1">
        <w:trPr>
          <w:cantSplit/>
          <w:trHeight w:val="3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B01BD7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</w:tbl>
    <w:p w:rsidR="00B0526C" w:rsidRPr="00B01BD7" w:rsidRDefault="00B0526C" w:rsidP="000D25F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0D25F8" w:rsidRPr="00B01BD7" w:rsidRDefault="000D25F8" w:rsidP="000D25F8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B0526C" w:rsidRPr="00B01BD7" w:rsidRDefault="00B0526C" w:rsidP="00B0526C">
      <w:pPr>
        <w:pStyle w:val="ab"/>
        <w:numPr>
          <w:ilvl w:val="0"/>
          <w:numId w:val="15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B0526C" w:rsidRPr="00B01BD7" w:rsidRDefault="00B0526C" w:rsidP="00B0526C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Строительство инженерной инфраструктуры;</w:t>
      </w:r>
    </w:p>
    <w:p w:rsidR="00B0526C" w:rsidRPr="00B01BD7" w:rsidRDefault="00B0526C" w:rsidP="00B0526C">
      <w:pPr>
        <w:pStyle w:val="ab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Строительство автодорог.</w:t>
      </w: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B0526C" w:rsidRPr="00B01BD7" w:rsidRDefault="00B0526C" w:rsidP="00B0526C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B01BD7">
        <w:rPr>
          <w:bCs/>
          <w:color w:val="auto"/>
          <w:sz w:val="28"/>
          <w:szCs w:val="28"/>
        </w:rPr>
        <w:t>Финансирование</w:t>
      </w:r>
      <w:r w:rsidRPr="00B01BD7">
        <w:rPr>
          <w:color w:val="auto"/>
          <w:sz w:val="28"/>
          <w:szCs w:val="28"/>
        </w:rPr>
        <w:t xml:space="preserve"> разработки, а также проведение экспертизы проектно-сметной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B01BD7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0D25F8" w:rsidRPr="00B01BD7" w:rsidRDefault="000D25F8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ab"/>
        <w:ind w:firstLine="720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Управление ЖКХ администрации округа Муром:</w:t>
      </w:r>
    </w:p>
    <w:p w:rsidR="00B0526C" w:rsidRPr="00B01BD7" w:rsidRDefault="00B0526C" w:rsidP="00B0526C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B0526C" w:rsidRPr="00B01BD7" w:rsidRDefault="00B0526C" w:rsidP="00B052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B0526C" w:rsidRPr="00B01BD7" w:rsidRDefault="00B0526C" w:rsidP="00B05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0D25F8" w:rsidRPr="00B01BD7" w:rsidRDefault="000D25F8" w:rsidP="00F84928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КУМИ администрации округа Муром: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0D25F8" w:rsidRPr="00B01BD7" w:rsidRDefault="000D25F8" w:rsidP="00B0526C">
      <w:pPr>
        <w:pStyle w:val="ab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0D25F8" w:rsidRPr="00B01BD7" w:rsidRDefault="000D25F8" w:rsidP="00F84928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B0526C" w:rsidRPr="00B01BD7" w:rsidRDefault="00B0526C" w:rsidP="00B0526C">
      <w:pPr>
        <w:pStyle w:val="ab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МКУ «Муромстройзаказчик»: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B0526C" w:rsidRPr="00B01BD7" w:rsidRDefault="00B0526C" w:rsidP="00B052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B0526C" w:rsidRPr="00B01BD7" w:rsidRDefault="00B0526C" w:rsidP="00B0526C">
      <w:pPr>
        <w:pStyle w:val="ab"/>
        <w:numPr>
          <w:ilvl w:val="0"/>
          <w:numId w:val="19"/>
        </w:numPr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B0526C" w:rsidRPr="00B01BD7" w:rsidRDefault="00B0526C" w:rsidP="00B0526C">
      <w:pPr>
        <w:pStyle w:val="ab"/>
        <w:jc w:val="both"/>
        <w:rPr>
          <w:color w:val="auto"/>
          <w:sz w:val="28"/>
          <w:szCs w:val="28"/>
        </w:rPr>
      </w:pPr>
      <w:r w:rsidRPr="00B01BD7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2023 года» изложен в приложении к муниципальной программе.</w:t>
      </w:r>
    </w:p>
    <w:p w:rsidR="000D25F8" w:rsidRPr="00B01BD7" w:rsidRDefault="000D25F8" w:rsidP="000D25F8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2021 год изложен  в таблице   №2.</w:t>
      </w:r>
    </w:p>
    <w:p w:rsidR="000D25F8" w:rsidRPr="00B01BD7" w:rsidRDefault="000D25F8" w:rsidP="000D25F8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570"/>
        <w:gridCol w:w="992"/>
        <w:gridCol w:w="616"/>
        <w:gridCol w:w="882"/>
      </w:tblGrid>
      <w:tr w:rsidR="000D25F8" w:rsidRPr="00540017" w:rsidTr="00B80A55">
        <w:tc>
          <w:tcPr>
            <w:tcW w:w="445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601" w:type="dxa"/>
            <w:gridSpan w:val="8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2021 год</w:t>
            </w:r>
          </w:p>
        </w:tc>
      </w:tr>
      <w:tr w:rsidR="000D25F8" w:rsidRPr="00B01BD7" w:rsidTr="00B80A55">
        <w:tc>
          <w:tcPr>
            <w:tcW w:w="445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570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616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88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0D25F8" w:rsidRPr="00B01BD7" w:rsidTr="00B80A55">
        <w:tc>
          <w:tcPr>
            <w:tcW w:w="44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03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70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BD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31187,8</w:t>
            </w:r>
          </w:p>
        </w:tc>
        <w:tc>
          <w:tcPr>
            <w:tcW w:w="616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82" w:type="dxa"/>
          </w:tcPr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D25F8" w:rsidRPr="00B01BD7" w:rsidRDefault="000D25F8" w:rsidP="00B80A5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1BD7">
              <w:rPr>
                <w:rFonts w:ascii="Times New Roman" w:hAnsi="Times New Roman"/>
                <w:sz w:val="20"/>
                <w:szCs w:val="20"/>
                <w:lang w:val="ru-RU"/>
              </w:rPr>
              <w:t>31187,8</w:t>
            </w:r>
          </w:p>
        </w:tc>
      </w:tr>
    </w:tbl>
    <w:p w:rsidR="000D25F8" w:rsidRPr="00B01BD7" w:rsidRDefault="000D25F8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907697">
      <w:pPr>
        <w:pStyle w:val="ConsPlusNormal"/>
        <w:numPr>
          <w:ilvl w:val="0"/>
          <w:numId w:val="21"/>
        </w:numPr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90769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B0526C" w:rsidRPr="00B01BD7" w:rsidRDefault="00B0526C" w:rsidP="00B05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</w:t>
      </w:r>
      <w:r w:rsidR="00907697" w:rsidRPr="00B01BD7">
        <w:rPr>
          <w:rFonts w:ascii="Times New Roman" w:hAnsi="Times New Roman" w:cs="Times New Roman"/>
          <w:sz w:val="28"/>
          <w:szCs w:val="28"/>
        </w:rPr>
        <w:t xml:space="preserve"> транспортной инфраструктурой  18</w:t>
      </w:r>
      <w:r w:rsidRPr="00B01BD7">
        <w:rPr>
          <w:rFonts w:ascii="Times New Roman" w:hAnsi="Times New Roman" w:cs="Times New Roman"/>
          <w:sz w:val="28"/>
          <w:szCs w:val="28"/>
        </w:rPr>
        <w:t>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2023 года, требует привлечения финансовых ресурсов в сумме  55 621,8 тыс. рублей.</w:t>
      </w:r>
    </w:p>
    <w:p w:rsidR="00B0526C" w:rsidRPr="00B01BD7" w:rsidRDefault="00B0526C" w:rsidP="00B05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11" w:history="1">
        <w:r w:rsidRPr="00B01BD7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B0526C" w:rsidRPr="00B01BD7" w:rsidRDefault="00B0526C" w:rsidP="00B0526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01BD7">
        <w:rPr>
          <w:rFonts w:ascii="Times New Roman" w:hAnsi="Times New Roman" w:cs="Times New Roman"/>
          <w:sz w:val="28"/>
          <w:szCs w:val="28"/>
        </w:rPr>
        <w:t>Таблица № 3</w:t>
      </w:r>
    </w:p>
    <w:p w:rsidR="00B0526C" w:rsidRPr="00B01BD7" w:rsidRDefault="00B0526C" w:rsidP="00B05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266"/>
        <w:gridCol w:w="1336"/>
        <w:gridCol w:w="1356"/>
        <w:gridCol w:w="1314"/>
      </w:tblGrid>
      <w:tr w:rsidR="00B0526C" w:rsidRPr="00540017" w:rsidTr="004F79F1">
        <w:trPr>
          <w:jc w:val="center"/>
        </w:trPr>
        <w:tc>
          <w:tcPr>
            <w:tcW w:w="5216" w:type="dxa"/>
            <w:vMerge w:val="restart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964" w:type="dxa"/>
            <w:gridSpan w:val="3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B0526C" w:rsidRPr="00B01BD7" w:rsidTr="004F79F1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0526C" w:rsidRPr="00B01BD7" w:rsidTr="004F79F1">
        <w:trPr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0526C" w:rsidRPr="00B01BD7" w:rsidRDefault="00B0526C" w:rsidP="004F7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55621,8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15134,4</w:t>
            </w:r>
          </w:p>
        </w:tc>
      </w:tr>
      <w:tr w:rsidR="00B0526C" w:rsidRPr="00B01BD7" w:rsidTr="004F79F1">
        <w:trPr>
          <w:trHeight w:val="704"/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B01BD7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7231,5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1 209,0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1967,5</w:t>
            </w:r>
          </w:p>
        </w:tc>
      </w:tr>
      <w:tr w:rsidR="00B0526C" w:rsidRPr="00B01BD7" w:rsidTr="004F79F1">
        <w:trPr>
          <w:trHeight w:val="695"/>
          <w:jc w:val="center"/>
        </w:trPr>
        <w:tc>
          <w:tcPr>
            <w:tcW w:w="5216" w:type="dxa"/>
          </w:tcPr>
          <w:p w:rsidR="00B0526C" w:rsidRPr="00B01BD7" w:rsidRDefault="00B0526C" w:rsidP="004F79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B0526C" w:rsidRPr="00B01BD7" w:rsidRDefault="00B0526C" w:rsidP="004F79F1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48390,3*</w:t>
            </w:r>
          </w:p>
        </w:tc>
        <w:tc>
          <w:tcPr>
            <w:tcW w:w="128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27 132,8*</w:t>
            </w:r>
          </w:p>
        </w:tc>
        <w:tc>
          <w:tcPr>
            <w:tcW w:w="1362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8 090,6*</w:t>
            </w:r>
          </w:p>
        </w:tc>
        <w:tc>
          <w:tcPr>
            <w:tcW w:w="1316" w:type="dxa"/>
          </w:tcPr>
          <w:p w:rsidR="00B0526C" w:rsidRPr="00B01BD7" w:rsidRDefault="00B0526C" w:rsidP="004F79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F84928" w:rsidP="00B0526C">
      <w:pPr>
        <w:tabs>
          <w:tab w:val="left" w:pos="597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0526C"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p w:rsidR="00B0526C" w:rsidRPr="00B01BD7" w:rsidRDefault="00B0526C" w:rsidP="00B0526C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Т</w:t>
      </w:r>
      <w:r w:rsidRPr="00B01BD7">
        <w:rPr>
          <w:rFonts w:ascii="Times New Roman" w:hAnsi="Times New Roman"/>
          <w:sz w:val="28"/>
          <w:szCs w:val="28"/>
        </w:rPr>
        <w:t>аблица №4</w:t>
      </w:r>
    </w:p>
    <w:p w:rsidR="00B0526C" w:rsidRPr="00B01BD7" w:rsidRDefault="00B0526C" w:rsidP="00B0526C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69"/>
        <w:gridCol w:w="1418"/>
        <w:gridCol w:w="1417"/>
        <w:gridCol w:w="1418"/>
        <w:gridCol w:w="1559"/>
        <w:gridCol w:w="1418"/>
        <w:gridCol w:w="1275"/>
      </w:tblGrid>
      <w:tr w:rsidR="00907697" w:rsidRPr="00B01BD7" w:rsidTr="00B80A55">
        <w:trPr>
          <w:jc w:val="center"/>
        </w:trPr>
        <w:tc>
          <w:tcPr>
            <w:tcW w:w="457" w:type="dxa"/>
            <w:vMerge w:val="restart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69" w:type="dxa"/>
            <w:vMerge w:val="restart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План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План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План 202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  <w:vMerge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ной бюджет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ной бюджет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ной бюджет*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640,0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3 690,6*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07697" w:rsidRPr="00B01BD7" w:rsidTr="00B80A55">
        <w:trPr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7 132,8*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569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4 400,0*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07697" w:rsidRPr="00B01BD7" w:rsidTr="00B80A55">
        <w:trPr>
          <w:trHeight w:val="708"/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Инженерные сети к земельным участкам по ул.Совхлозная (90 участков)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1967,5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  <w:tr w:rsidR="00907697" w:rsidRPr="00B01BD7" w:rsidTr="00B80A55">
        <w:trPr>
          <w:trHeight w:val="708"/>
          <w:jc w:val="center"/>
        </w:trPr>
        <w:tc>
          <w:tcPr>
            <w:tcW w:w="45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907697" w:rsidRPr="00B01BD7" w:rsidRDefault="00907697" w:rsidP="00B80A55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(189 участков):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4 055,0</w:t>
            </w:r>
          </w:p>
        </w:tc>
        <w:tc>
          <w:tcPr>
            <w:tcW w:w="1417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 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132,8*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8 090,6*</w:t>
            </w:r>
          </w:p>
        </w:tc>
        <w:tc>
          <w:tcPr>
            <w:tcW w:w="1418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1967,5</w:t>
            </w:r>
          </w:p>
        </w:tc>
        <w:tc>
          <w:tcPr>
            <w:tcW w:w="1275" w:type="dxa"/>
          </w:tcPr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697" w:rsidRPr="00B01BD7" w:rsidRDefault="00907697" w:rsidP="00B80A5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13166,9*</w:t>
            </w:r>
          </w:p>
        </w:tc>
      </w:tr>
    </w:tbl>
    <w:p w:rsidR="00B0526C" w:rsidRPr="00B01BD7" w:rsidRDefault="00B0526C" w:rsidP="00B0526C">
      <w:pPr>
        <w:widowControl w:val="0"/>
        <w:tabs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tabs>
          <w:tab w:val="left" w:pos="75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 xml:space="preserve">* Объемы финансирования носят прогнозный характер и подлежат ежегодному уточнению </w:t>
      </w: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B0526C" w:rsidRPr="00B01BD7" w:rsidRDefault="00B0526C" w:rsidP="00B0526C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6.Порядок и методика оценки эффективности подпрограммы</w:t>
      </w:r>
      <w:r w:rsidR="0090769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54001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907697" w:rsidRPr="00B01BD7" w:rsidRDefault="0090769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B01BD7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  <w:r w:rsidR="00907697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B052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  <w:r w:rsidR="00907697" w:rsidRPr="00B01B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26C" w:rsidRPr="00B01BD7" w:rsidRDefault="00B0526C" w:rsidP="00B0526C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Default="00907697" w:rsidP="00F8492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4928" w:rsidRPr="00B01BD7" w:rsidRDefault="00F84928" w:rsidP="00F84928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697" w:rsidRPr="00B01BD7" w:rsidRDefault="00907697" w:rsidP="00B0526C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/>
          <w:bCs/>
          <w:iCs/>
          <w:sz w:val="28"/>
          <w:szCs w:val="28"/>
        </w:rPr>
        <w:t>6. ПОДПРОГРАММА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D7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ОКРУГЕ  МУРОМ НА  2021 -2023 ГОДЫ».</w:t>
      </w:r>
    </w:p>
    <w:p w:rsidR="00B0526C" w:rsidRPr="00B01BD7" w:rsidRDefault="00B0526C" w:rsidP="00B052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благоустройство округа Муром на 2021-2023 годы»</w:t>
      </w:r>
      <w:r w:rsidR="00DE1136" w:rsidRPr="00B01BD7">
        <w:rPr>
          <w:rFonts w:ascii="Times New Roman" w:hAnsi="Times New Roman"/>
          <w:sz w:val="28"/>
          <w:szCs w:val="28"/>
          <w:lang w:val="ru-RU"/>
        </w:rPr>
        <w:t>.</w:t>
      </w:r>
    </w:p>
    <w:p w:rsidR="00B0526C" w:rsidRPr="00B01BD7" w:rsidRDefault="00B0526C" w:rsidP="00DE11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«Энергосбережение и повышение энергетической эффективности в округе Муром на 2021 – 2023 годы"                                   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в результате создания условий для перевода экономики, жилищного хозяйства и бюджетной сферы округа на энергосберегающий путь развития.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светильников- 1 036 ед.</w:t>
            </w:r>
          </w:p>
        </w:tc>
      </w:tr>
      <w:tr w:rsidR="00B0526C" w:rsidRPr="00B01BD7" w:rsidTr="004F79F1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0526C" w:rsidRPr="0054001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Всего: 13 500,0 тыс. руб., в том числе:</w:t>
            </w:r>
          </w:p>
          <w:p w:rsidR="00B0526C" w:rsidRPr="00B01BD7" w:rsidRDefault="00F84928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1 755,0 тыс.руб. за счет средств бюджета округа Муром;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- 11 745,0 тыс.руб. за счет средств областного бюджета;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2023 г. всего – 13 500,0 тыс. руб</w:t>
            </w:r>
            <w:r w:rsidR="00B80A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- 1 755,0 тыс.руб. за счет средств бюджета округа Муром;</w:t>
            </w:r>
          </w:p>
          <w:p w:rsidR="00B0526C" w:rsidRPr="00B01BD7" w:rsidRDefault="00F84928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B0526C"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- 11 745,0 тыс.руб. за счет средств областного бюджета.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B9275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Улучшение качества наружного освещения территории округа Муром путем установки светодиодных светильников в количестве </w:t>
            </w:r>
            <w:r w:rsidR="00B927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1036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единиц.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B0526C" w:rsidRPr="00B01BD7" w:rsidRDefault="00B0526C" w:rsidP="00B0526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B0526C" w:rsidRPr="00B01BD7" w:rsidRDefault="00B0526C" w:rsidP="00B0526C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B01BD7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B01BD7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B01BD7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B01BD7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6 190 светильников. В округе Муром постоянно ведется модернизация наружного уличного освещения путем замены. На   настоящий момент основная часть светильников- энергосберегающие. Для завершения  модернизации уличного освещения в округе Муром необходимо заменить оставшиеся светильники с лампами ДНаТ мощностью 250 Вт на энергосберегающие светодиодные, обеспечивающие больший световой поток.  Данные мероприятия предусмотрено выполнить в рамках Программы в 2</w:t>
      </w:r>
      <w:r w:rsidR="007C2366">
        <w:rPr>
          <w:rFonts w:ascii="Times New Roman" w:hAnsi="Times New Roman"/>
          <w:sz w:val="28"/>
          <w:szCs w:val="28"/>
          <w:lang w:val="ru-RU"/>
        </w:rPr>
        <w:t>023 году. Стоимость работ в 2023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году составляет 13 500,0 тыс.руб. Из областного бюджета запланировано привлечь 11 745,0 тыс.руб.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Основным приоритетом муниципальной политике в сфере реализации подпрограммы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 Повышение эффективности использования энергетических ресурсов;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2021-2023 годы.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сформировано основное мероприятие подпрограммы «Энергосбережение и повышение энергетической эффективности в округе Муром». В ходе проведения мероприятий запланирована замена светильников РКУ 250 на светодиодные в количестве 1036 ед.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«Энергосбережение и повышение энергетической эффективн</w:t>
      </w:r>
      <w:r w:rsidR="00C72DFE">
        <w:rPr>
          <w:rFonts w:ascii="Times New Roman" w:hAnsi="Times New Roman"/>
          <w:sz w:val="28"/>
          <w:szCs w:val="28"/>
          <w:lang w:val="ru-RU"/>
        </w:rPr>
        <w:t>ости в округе Муром на 2021-202</w:t>
      </w:r>
      <w:r w:rsidRPr="00B01BD7">
        <w:rPr>
          <w:rFonts w:ascii="Times New Roman" w:hAnsi="Times New Roman"/>
          <w:sz w:val="28"/>
          <w:szCs w:val="28"/>
          <w:lang w:val="ru-RU"/>
        </w:rPr>
        <w:t>3годы» изложен в приложении к муниципальной программе.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13 500,0 тыс. руб.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представлено в таблице №2</w:t>
      </w:r>
    </w:p>
    <w:p w:rsidR="009A6C57" w:rsidRPr="00B01BD7" w:rsidRDefault="009A6C57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0526C" w:rsidRPr="00540017" w:rsidTr="004F79F1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13500,0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13 500,0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1 755,0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1 755,0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11 745,0*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BD7">
              <w:rPr>
                <w:rFonts w:ascii="Times New Roman" w:hAnsi="Times New Roman" w:cs="Times New Roman"/>
                <w:sz w:val="26"/>
                <w:szCs w:val="26"/>
              </w:rPr>
              <w:t>11 745,0*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B01BD7">
        <w:rPr>
          <w:rFonts w:ascii="Times New Roman" w:hAnsi="Times New Roman"/>
          <w:sz w:val="24"/>
          <w:szCs w:val="28"/>
          <w:lang w:val="ru-RU"/>
        </w:rPr>
        <w:t>*Объемы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светодиодных светильников в количестве 1 036 единиц.</w:t>
      </w:r>
    </w:p>
    <w:p w:rsidR="00B80A55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Основные показатели (индикаторы) реализации подпрограммы приведены в таблице №3.          </w:t>
      </w:r>
    </w:p>
    <w:p w:rsidR="00B80A55" w:rsidRDefault="00B80A55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0526C" w:rsidRPr="00B01BD7" w:rsidTr="004F79F1">
        <w:trPr>
          <w:jc w:val="center"/>
        </w:trPr>
        <w:tc>
          <w:tcPr>
            <w:tcW w:w="3808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3808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60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9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24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1.Количество 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1 036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  <w:r w:rsidR="009A6C5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Оценка эффективности реализации подпрограммы осуществляется в соответствии с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оценки планируемой эффективности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 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Для оценки эффективности реализации подпрограммы применяется система критериев </w:t>
      </w:r>
      <w:r w:rsidRPr="00B01BD7">
        <w:rPr>
          <w:rFonts w:ascii="Times New Roman" w:hAnsi="Times New Roman"/>
          <w:sz w:val="28"/>
          <w:szCs w:val="28"/>
        </w:rPr>
        <w:t>K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), каждому из которых соответствует определенный весовой коэффициент </w:t>
      </w:r>
      <w:r w:rsidRPr="00B01BD7">
        <w:rPr>
          <w:rFonts w:ascii="Times New Roman" w:hAnsi="Times New Roman"/>
          <w:sz w:val="28"/>
          <w:szCs w:val="28"/>
        </w:rPr>
        <w:t>W</w:t>
      </w:r>
      <w:r w:rsidRPr="00B01BD7">
        <w:rPr>
          <w:rFonts w:ascii="Times New Roman" w:hAnsi="Times New Roman"/>
          <w:sz w:val="28"/>
          <w:szCs w:val="28"/>
          <w:lang w:val="ru-RU"/>
        </w:rPr>
        <w:t>(</w:t>
      </w:r>
      <w:r w:rsidRPr="00B01BD7">
        <w:rPr>
          <w:rFonts w:ascii="Times New Roman" w:hAnsi="Times New Roman"/>
          <w:sz w:val="28"/>
          <w:szCs w:val="28"/>
        </w:rPr>
        <w:t>x</w:t>
      </w:r>
      <w:r w:rsidRPr="00B01BD7">
        <w:rPr>
          <w:rFonts w:ascii="Times New Roman" w:hAnsi="Times New Roman"/>
          <w:sz w:val="28"/>
          <w:szCs w:val="28"/>
          <w:lang w:val="ru-RU"/>
        </w:rPr>
        <w:t>), определяющий уровень значимости критерия в итоговой оценке, которые указаны в нижеприведенной таблице.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216"/>
        <w:gridCol w:w="1644"/>
      </w:tblGrid>
      <w:tr w:rsidR="00B0526C" w:rsidRPr="0054001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Формулировка критерия и его весовой коэффициент - 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W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(х)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Показатели критерия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Балльная оценка показателя критерия В(х)</w:t>
            </w:r>
          </w:p>
        </w:tc>
      </w:tr>
      <w:tr w:rsidR="00B0526C" w:rsidRPr="00B01BD7" w:rsidTr="004F79F1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Соответствие цели подпрограммы                   приоритетам федерального и областного уровней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Проблемная область подпрограммы соответствует проблемной области действующих или разрабатываемых государственных 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Проблемная область подпрограммы не соответствует проблемной области действующих или разрабатываемых госпрограмм (или ее подпрограмм) Владимирской области, инициативе Президента Российской Федерации к приоритетным задачам социально-экономического развития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Соответствие цели подпрограммы Прогнозу социально-экономического развития округа Муром на среднесрочную перспективу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Не соответствует целям и задачам Прогноза социально-экономического развития округа Муром на среднесрочную перспективу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Привлечение средств из федерального, областного бюджетов и внебюджетных источников (за отчетный период)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Доля привлеченных средств превышает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Доля привлеченных средств составляет от 15 до 35%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Доля привлеченных средств составляет менее 15% от общих затрат в отчетном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4. Не привлечено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Фактическое финансирование подпрограммы с начала ее реализации (соотношение фактических расходов к объему финансирования на весь период реализации )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Финансовое обеспечение подпрограммы составляет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Финансовое обеспечение подпрограммы составляет от 40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3. Финансовое обеспечение подпрограммы составляет 40%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Фактическое финансирование подпрограммы за отчетный год (соотношение фактических расходов к плановым значениям)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Финансовое обеспечение подпрограммы составило не менее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Финансовое обеспечение подпрограммы составило 50 - 79%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Финансовое обеспечение подпрограммы составило менее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6. Наличие в подпрограммы показателей эффективности или показателей, утвержденных отраслевыми Министерствами РФ,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1. Показатели отражены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7. Соответствие достигнутых в отчетном году результатов плановым показателям, утвержденным в подпрограммы - 0,2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1. Выполнение целевых показателей составляет 100%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Выполнение целевых показателей составляет более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Выполнение целевых показателей составляет от 50% до 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4. Выполнение целевых показателей составляет от 15% до 50%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5. Выполнение целевых показателей составляет менее 15%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8. Наличие бюджетного и социального эффекта от реализации мероприятий подпрограммы  в отчетном году - 0,05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За отчетный год получены бюджетный 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 За отчетный год получен только бюджетный или социальный эффект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 Бюджетный и социальный эффекты 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9. Соответствие сроков выполнения мероприятий программы, сроков ввода в действие объектов по программе - 0,1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Плановые сроки соблюдены по всем мероприятиям и объектам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0526C" w:rsidRPr="00B01BD7" w:rsidTr="004F79F1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2. Не соблюдены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Кроме того, оценка бюджетной эффективности реализации основных мероприятий подпрограммы проводится в соответствии с нижеприведенной методикой.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ежегодно. Результаты оценки эффективности реализации основных мероприятий представляются в составе годового отчета о ходе ее реализации и об оценке эффективности.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Оценка бюджетной эффективности реализации основных мероприятий подпрограммы производится с учетом следующих составляющих: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достижения целевых индикаторов основных мероприятий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Степень достижения целевых индикаторов по каждому основному мероприятию рассчитывается по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81100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Ei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степень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(процентов);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Tfi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фактический уровень достижения целевого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Tpi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– установленное подпрограммой целевое значение индикатора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 Коэффициент полноты использования средств бюджета округа по каждому основному мероприятию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790700" cy="4286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полноты использования средств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муниципальной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Cfoi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 бюджета округа, израсходованных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подпрограммы;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Cpoi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сумма средств, предусмотренная в бюджете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 подпрограммы.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Коэффициент эффективности использования средств, выделяемых из бюджета округа на реализацию каждого мероприятия, определяется по следующей формуле: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  <w:lang w:eastAsia="ru-RU"/>
        </w:rPr>
      </w:pPr>
      <w:r w:rsidRPr="00B01BD7">
        <w:rPr>
          <w:rFonts w:ascii="Times New Roman" w:hAnsi="Times New Roman"/>
          <w:noProof/>
          <w:position w:val="-21"/>
          <w:sz w:val="28"/>
          <w:szCs w:val="28"/>
          <w:lang w:val="ru-RU" w:eastAsia="ru-RU"/>
        </w:rPr>
        <w:drawing>
          <wp:inline distT="0" distB="0" distL="0" distR="0">
            <wp:extent cx="1666875" cy="42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position w:val="-21"/>
          <w:sz w:val="28"/>
          <w:szCs w:val="28"/>
        </w:rPr>
      </w:pP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- коэффициент эффективности использования средств, выделяемых из бюджета округа на реализацию </w:t>
      </w:r>
      <w:r w:rsidRPr="00B01BD7">
        <w:rPr>
          <w:rFonts w:ascii="Times New Roman" w:hAnsi="Times New Roman"/>
          <w:sz w:val="28"/>
          <w:szCs w:val="28"/>
        </w:rPr>
        <w:t>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основного мероприятия.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- Бюджетная эффективность реализации основного мероприятия подпрограммы признается высокой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100%.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Бюджетная эффективность реализации основного мероприятия подпрограммы признается удовлетворительной в случае, если значение </w:t>
      </w:r>
      <w:r w:rsidRPr="00B01BD7">
        <w:rPr>
          <w:rFonts w:ascii="Times New Roman" w:hAnsi="Times New Roman"/>
          <w:sz w:val="28"/>
          <w:szCs w:val="28"/>
        </w:rPr>
        <w:t>Keoi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составляет не менее 95%.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остальных случаях бюджетная эффективность реализации основного мероприятия подпрограммы признается неудовлетворительной.</w:t>
      </w:r>
    </w:p>
    <w:p w:rsidR="00B0526C" w:rsidRPr="00B01BD7" w:rsidRDefault="00B0526C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Сведения об эффективности реализации подпрограммы используются при проведении оценки эффективн</w:t>
      </w:r>
      <w:r w:rsidR="009A6C57" w:rsidRPr="00B01BD7">
        <w:rPr>
          <w:rFonts w:ascii="Times New Roman" w:hAnsi="Times New Roman"/>
          <w:sz w:val="28"/>
          <w:szCs w:val="28"/>
          <w:lang w:val="ru-RU"/>
        </w:rPr>
        <w:t>ости реализации всей Программы.</w:t>
      </w:r>
    </w:p>
    <w:p w:rsidR="009A6C57" w:rsidRPr="00B01BD7" w:rsidRDefault="009A6C57" w:rsidP="00B052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  <w:r w:rsidR="009A6C57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 реализации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муниципал</w:t>
      </w:r>
      <w:r w:rsidR="00B80A55">
        <w:rPr>
          <w:rFonts w:ascii="Times New Roman" w:hAnsi="Times New Roman" w:cs="Times New Roman"/>
          <w:bCs/>
          <w:iCs/>
          <w:sz w:val="28"/>
          <w:szCs w:val="28"/>
        </w:rPr>
        <w:t>ьные задания не предусмотрены.</w:t>
      </w:r>
    </w:p>
    <w:p w:rsidR="00B0526C" w:rsidRPr="00B01BD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80A55" w:rsidRPr="00B01BD7" w:rsidRDefault="00B80A55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B01BD7" w:rsidRDefault="00B0526C" w:rsidP="00B0526C">
      <w:pPr>
        <w:pStyle w:val="ConsPlusNonformat"/>
        <w:widowControl/>
        <w:ind w:left="644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 w:rsidRPr="00B01BD7">
        <w:rPr>
          <w:rFonts w:ascii="Times New Roman" w:hAnsi="Times New Roman" w:cs="Times New Roman"/>
          <w:b/>
          <w:bCs/>
          <w:iCs/>
          <w:sz w:val="27"/>
          <w:szCs w:val="27"/>
        </w:rPr>
        <w:t>7.ПОДПРОГРАММА «ЧИСТАЯ ВОДА НА 2021-2023 ГОДЫ</w:t>
      </w:r>
      <w:r w:rsidRPr="00B01BD7">
        <w:rPr>
          <w:rFonts w:ascii="Times New Roman" w:hAnsi="Times New Roman" w:cs="Times New Roman"/>
          <w:bCs/>
          <w:iCs/>
          <w:sz w:val="27"/>
          <w:szCs w:val="27"/>
        </w:rPr>
        <w:t>»</w:t>
      </w:r>
    </w:p>
    <w:p w:rsidR="00B0526C" w:rsidRPr="00B01BD7" w:rsidRDefault="00B0526C" w:rsidP="00B0526C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</w:p>
    <w:p w:rsidR="00B0526C" w:rsidRPr="00B01BD7" w:rsidRDefault="00B0526C" w:rsidP="00B052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Паспорт подпрограммы муниципальной подпрограммы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«Чистая вода на 2021-2023 годы»</w:t>
      </w:r>
      <w:r w:rsidR="00DE1136" w:rsidRPr="00B01BD7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«Чистая вода на 2021 – 2023 годы»                                   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B0526C" w:rsidRPr="00B01BD7" w:rsidRDefault="00B0526C" w:rsidP="004F7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под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B01BD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питьевой воды для населения округа Муром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питьевой воды посредством модернизации систем водоснабжения с использованием перспективных технологий.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1. Повышение доли населения округа Муром, обеспеченного питьевым водоснабжением согласно нормативным значениям до 91 %.;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2.Строительство объектов водоснабжения для обеспечения населения округа качественной питьевой водой -2 ед.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3.Количество разработанной проектно-сметной документации на объекты водоснабжения-1 ед.</w:t>
            </w:r>
          </w:p>
        </w:tc>
      </w:tr>
      <w:tr w:rsidR="00B0526C" w:rsidRPr="00B01BD7" w:rsidTr="004F79F1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0526C" w:rsidRPr="00540017" w:rsidTr="004F79F1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Всего 315 815,6 тыс. руб.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Муром-23 067,3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бюджета-5 871,7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федерального бюджета-286 876,6 тыс.руб.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2021 год всего:  65 831,5 тыс.руб.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Муром-12233,3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бюджета- 1072,0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федерального бюджета- 52 526,2 тыс.руб.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2022 год всего:249 984,1 тыс.руб. из них: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бюджета округа Муром-10 834,0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областного бюджета- 4 799,7 тыс.руб.,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-Средства федерального бюджета-234 350,4 тыс.руб</w:t>
            </w:r>
          </w:p>
        </w:tc>
      </w:tr>
      <w:tr w:rsidR="00B0526C" w:rsidRPr="00540017" w:rsidTr="004F79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26C" w:rsidRPr="00B01BD7" w:rsidRDefault="00EA2458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r w:rsidR="00B0526C"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округа Муром путем обеспечения 91% населения округа Муром качественным питьевым водоснабжением с помощью строительства объектов водоснабжения в количестве 2 единицы.</w:t>
            </w:r>
          </w:p>
        </w:tc>
      </w:tr>
    </w:tbl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населения качественной питьевой водой является одним из важных условий повышения качества и продолжительности жизни населения. Некачественная питьевая вода является прямой или косвенной причиной 80% болезней человека. Согласно экспертным оценка, использование качественной питьевой воды позволит увеличить среднюю продолжительность жизни на 5-7 лет, а увеличение продолжительности жизни является одним из главных приоритетов Стратегии социально-экономического развития Владимирской области, утвержденной Указом Губернатора от 02.06.2009 №10.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округе Муром значительное внимание уделяется качеству питьевой воды, подаваемому населению округа из систем централизованного холодного водоснабжения.  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Контроль качества питьевых вод осуществляется ресурсоснабжающими организациями по 32 показателям 1 раз в год и по 10 показателям - ежеквартально, согласно требованиям СанПиН 2.1.4.1074-01, «Рабочей программы» и графика, утверждаемого ежегодно ТУ ФГУ «Роспотребнадзора». На данный момент времени до 01.01.2021г. ФГУ «Роспотребнадзор» утвердил временно разрешенные отклонения по качественному составу.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Контроль качества осуществляется, как из самих источников (арт. скважин), так и в распределительных сетях.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Превышение отмечено по 3 показателям: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железу общему;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мутности;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- жесткости общей.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Причиной несоответствия гигиенических нормативов показателям качественной питьевой воды в округе Муром являются: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- факторы природного характера: вода содержит ряд компонентов, концентрации которых близки или превышают допустимые значения – это, как вышеуказанно, жесткость, железо, мутность, что ухудшает органолептические свойства;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- неудовлетворительное санитарно-техническое состояние систем водоснабжения;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BD7">
        <w:rPr>
          <w:rFonts w:ascii="Times New Roman" w:eastAsia="Calibri" w:hAnsi="Times New Roman" w:cs="Times New Roman"/>
          <w:sz w:val="28"/>
          <w:szCs w:val="28"/>
          <w:lang w:eastAsia="en-US"/>
        </w:rPr>
        <w:t>- ряд источников централизованного водоснабжения не имеют зон санитарной охраны, соответствующих требованиям санитарного законодательства.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Особенностью системы водоснабжения округа Муром заключается в том, что она по составу является объединенной, кольцевой и частично зонированной. Основной Александровский водозабор и отдельные водозаборы (артезианские скважины) находятся в разных сторонах города и подают питьевую воду в единую кольцевую систему водоснабжения города Мурома, за исключением зонированных водозаборов Якиманской и Дмитриевской слобод, поселка фабрики им. Войкова и других.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 целью обеспечения населения округа качественной питьевой водой необходимо выполнить мероприятия по установке станции очистки питьевой воды на Александровском водозаборе и осуществить строительство водопроводов в районы округа с целью обеспечения населения питьевой водой, подаваемой с Александровского водозабора и соответствующей нормативным значениям.</w:t>
      </w:r>
    </w:p>
    <w:p w:rsidR="00B0526C" w:rsidRPr="00B01BD7" w:rsidRDefault="00B0526C" w:rsidP="00B0526C">
      <w:pPr>
        <w:tabs>
          <w:tab w:val="left" w:pos="709"/>
          <w:tab w:val="left" w:leader="dot" w:pos="9214"/>
        </w:tabs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Для реализации вышеуказанных мероприятий разработана данная Программа.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Основным приоритетом муниципальной политике в сфере реализации подпрограммы является решение задач по обеспечению населения округа Муром качественной питьевой водой.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В этой связи определены основные цели и  задачи подпрограммы.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Цель подпрограммы: Повышение качества питьевой воды для населения округа Муром.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Задача подпрограммы: Повышение качества питьевой воды посредством модернизации систем водоснабжения с использованием перспективных технологий.</w:t>
      </w:r>
    </w:p>
    <w:p w:rsidR="00B0526C" w:rsidRPr="00B01BD7" w:rsidRDefault="00B0526C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Срок реализации Подпрограммы 2021 – 2023 годы.</w:t>
      </w:r>
    </w:p>
    <w:p w:rsidR="009A6C57" w:rsidRPr="00B01BD7" w:rsidRDefault="009A6C57" w:rsidP="00B0526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A6C57" w:rsidRPr="00B01BD7" w:rsidRDefault="009A6C57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1. Мероприятие «Строительство, реконструкция и техническое перевооружение объектов водоснабжения и водоотведения». В рамках данного мероприятия будет разработана проектная документация на объект, реализуемый в рамках Федерального проекта «Чистая вода» национального проекта «Экология», а именно на установку станции очистки воды на Александровском водозаборе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2. Мероприятие: «Федеральный проект «Чистая вода» национального проекта «Экология».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u w:val="single"/>
          <w:lang w:val="ru-RU"/>
        </w:rPr>
        <w:t>2021 год.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Строительство водопровода по Радиозаводскомй шоссе со строительством станции повышения давления от ул.Куйбышева до ул.Орловская. В настоящий момент в ряде микрорайонов города качества питьевой воды, подаваемой потребителям находится на пределе разрешенных показателей санитарных норм и правил (временных). Для этого с целью улучшения качества водоснабжения микрорайонов Южный, Фанерный, Карачарово и д.Орлово необходимо перейти на подачу ресурса с Александровского водозабора. С целью реализации данного мероприятия требуется построить водопровод по Радиозаводскому шоссе со строительством станции повышения давления. Для финансирования работ планируется привлечь субсидии из областного и федерального бюджетов. В результате введения данного объекта доля населения округа Муром, обеспеченного питьевым водоснабжением согласно установленным нормативным значения увеличиться до 16,2 % или 18,735 тыс.чел.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u w:val="single"/>
          <w:lang w:val="ru-RU"/>
        </w:rPr>
        <w:t>2022 год.</w:t>
      </w:r>
      <w:r w:rsidRPr="00B01BD7">
        <w:rPr>
          <w:rFonts w:ascii="Times New Roman" w:hAnsi="Times New Roman"/>
          <w:sz w:val="28"/>
          <w:szCs w:val="28"/>
          <w:lang w:val="ru-RU"/>
        </w:rPr>
        <w:t xml:space="preserve"> Установка станция очистки воды на водозаборе в   районе деревни Александровка. В результате введения в эксплуатацию данного объекта доля населения округа Муром, обеспеченного питьевым водоснабжением согласно установленным нормативным значениям увеличиться до 91 % или 105, 237 тыс.чел.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Для финансирования работ планируется привлечение субсидий из областного и федерального бюджетов.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По итогам проведенных программных мероприятий, оставшиеся на начало 2023 года 9 % населения округа Муром планируется  обеспечить  качественной питьевой водой согласно санитарным правилам и нормам в последующие периоды реализации Программы, с обязательным привлечением   источников финансирования из федерального, регионального бюджетов и внебюджетных средств.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Перечень мероприятий подпрограммы «Чистая вода на 2021-2023 годы» изложен в приложении к данной подпрограмме.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A6C57" w:rsidRPr="00B01BD7" w:rsidRDefault="009A6C57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315 815,6     тыс. руб.        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Ресурсное обеспечение подпрограммы  представлено в таблице №2</w:t>
      </w:r>
    </w:p>
    <w:p w:rsidR="00B0526C" w:rsidRPr="00B01BD7" w:rsidRDefault="00B0526C" w:rsidP="00B0526C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№</w:t>
      </w:r>
      <w:r w:rsidRPr="00B01BD7">
        <w:rPr>
          <w:rFonts w:ascii="Times New Roman" w:hAnsi="Times New Roman"/>
          <w:sz w:val="28"/>
          <w:szCs w:val="28"/>
          <w:lang w:val="ru-RU"/>
        </w:rPr>
        <w:t>2</w:t>
      </w:r>
      <w:r w:rsidRPr="00B01BD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1560"/>
        <w:gridCol w:w="1701"/>
        <w:gridCol w:w="1992"/>
      </w:tblGrid>
      <w:tr w:rsidR="00B0526C" w:rsidRPr="00540017" w:rsidTr="004F79F1">
        <w:trPr>
          <w:trHeight w:val="360"/>
          <w:jc w:val="center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0526C" w:rsidRPr="00B01BD7" w:rsidTr="004F79F1">
        <w:trPr>
          <w:trHeight w:val="352"/>
          <w:jc w:val="center"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315 815,6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65 831,5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249 984,1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23 067,3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12 233,3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10 834,0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5 871,7*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1 072,0*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4 799,7*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526C" w:rsidRPr="00B01BD7" w:rsidTr="004F79F1">
        <w:trPr>
          <w:trHeight w:val="24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286 876,6**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52 526,2**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234 350,4**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526C" w:rsidRPr="00B01BD7" w:rsidRDefault="00B0526C" w:rsidP="00B052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*,** Объемы финансирования носят прогнозный характер и подлежат ежегодному уточнению исходя из выделенных лимитов.</w:t>
      </w: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A6C57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526C" w:rsidRPr="00B01BD7" w:rsidRDefault="00B0526C" w:rsidP="00B052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</w:rPr>
        <w:t>Таблица  №</w:t>
      </w:r>
      <w:r w:rsidRPr="00B01BD7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B0526C" w:rsidRPr="00B01BD7" w:rsidTr="004F79F1">
        <w:trPr>
          <w:jc w:val="center"/>
        </w:trPr>
        <w:tc>
          <w:tcPr>
            <w:tcW w:w="3983" w:type="dxa"/>
            <w:vMerge w:val="restart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vMerge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35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07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3" w:type="dxa"/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01BD7">
              <w:rPr>
                <w:rFonts w:ascii="Times New Roman" w:hAnsi="Times New Roman"/>
                <w:sz w:val="28"/>
                <w:szCs w:val="28"/>
              </w:rPr>
              <w:t>-20</w:t>
            </w: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1.Повышение доли населения округа Муром, обеспеченного питьевым водоснабжением согласно нормативным значениям до, 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16,2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2.Строительство объектов водоснабжения для обеспечения населения округа качественной питьевой водой,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0526C" w:rsidRPr="00B01BD7" w:rsidTr="004F79F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01BD7">
              <w:rPr>
                <w:rFonts w:ascii="Times New Roman" w:hAnsi="Times New Roman" w:cs="Times New Roman"/>
                <w:sz w:val="28"/>
                <w:szCs w:val="28"/>
              </w:rPr>
              <w:t>3.Количество разработанной проектно-сметной документации на объекты водоснабжения,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6C" w:rsidRPr="00B01BD7" w:rsidRDefault="00B0526C" w:rsidP="004F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1BD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0526C" w:rsidRPr="00B01BD7" w:rsidRDefault="00B0526C" w:rsidP="00B052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0526C" w:rsidRPr="00B01BD7" w:rsidRDefault="00B0526C" w:rsidP="00B052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подпрограммы и ее основных мероприятий. </w:t>
      </w:r>
    </w:p>
    <w:p w:rsidR="00B0526C" w:rsidRPr="00B01BD7" w:rsidRDefault="00B0526C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C57" w:rsidRPr="00B01BD7" w:rsidRDefault="009A6C57" w:rsidP="00B05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7.Анализ рисков реализации подпрограммы</w:t>
      </w:r>
    </w:p>
    <w:p w:rsidR="00B0526C" w:rsidRPr="00B01BD7" w:rsidRDefault="00B0526C" w:rsidP="00B052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BD7">
        <w:rPr>
          <w:rFonts w:ascii="Times New Roman" w:hAnsi="Times New Roman" w:cs="Times New Roman"/>
          <w:sz w:val="28"/>
          <w:szCs w:val="28"/>
        </w:rPr>
        <w:t>и описание мер управление рисками реализации подпрограммы</w:t>
      </w:r>
      <w:r w:rsidR="00DE1136" w:rsidRPr="00B01BD7">
        <w:rPr>
          <w:rFonts w:ascii="Times New Roman" w:hAnsi="Times New Roman" w:cs="Times New Roman"/>
          <w:sz w:val="28"/>
          <w:szCs w:val="28"/>
        </w:rPr>
        <w:t>.</w:t>
      </w: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0526C" w:rsidRPr="00B01BD7" w:rsidRDefault="00B0526C" w:rsidP="00B052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 управлять ответственный исполнитель подпрограммы, уменьшая вероятность их возникновения, следует отнести следующие: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 реализации  подпрограммы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 сроку начала реализации мероприятий подпрограммы.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0526C" w:rsidRPr="00B01BD7" w:rsidRDefault="00B0526C" w:rsidP="00B0526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1B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невозможности точного прогнозирования стоимости планируемых работ из-за постоянной растущей инфляции.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01BD7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0526C" w:rsidRPr="00B01BD7" w:rsidRDefault="00B0526C" w:rsidP="00B0526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26C" w:rsidRPr="00B01BD7" w:rsidRDefault="00B0526C" w:rsidP="00B0526C">
      <w:pPr>
        <w:pStyle w:val="ConsPlusNonformat"/>
        <w:widowControl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 по этапам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реализации подпрограммы (при оказании муниципальными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учреждениями муниципальных услуг (работ) в рамках подпрограммы</w:t>
      </w:r>
    </w:p>
    <w:p w:rsidR="00B0526C" w:rsidRPr="00B01BD7" w:rsidRDefault="00B0526C" w:rsidP="00B0526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526C" w:rsidRPr="009A6C57" w:rsidRDefault="00B0526C" w:rsidP="00B0526C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1BD7">
        <w:rPr>
          <w:rFonts w:ascii="Times New Roman" w:hAnsi="Times New Roman" w:cs="Times New Roman"/>
          <w:bCs/>
          <w:iCs/>
          <w:sz w:val="28"/>
          <w:szCs w:val="28"/>
        </w:rPr>
        <w:t>В рамках подпрограммы муниципальные задания не предусмотрены.</w:t>
      </w:r>
    </w:p>
    <w:p w:rsidR="00B0526C" w:rsidRPr="009A6C57" w:rsidRDefault="00B0526C" w:rsidP="00B052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A16CF" w:rsidRPr="009A6C57" w:rsidRDefault="009A16CF">
      <w:pPr>
        <w:rPr>
          <w:rFonts w:ascii="Times New Roman" w:hAnsi="Times New Roman"/>
          <w:sz w:val="28"/>
          <w:szCs w:val="28"/>
          <w:lang w:val="ru-RU"/>
        </w:rPr>
      </w:pPr>
    </w:p>
    <w:sectPr w:rsidR="009A16CF" w:rsidRPr="009A6C57" w:rsidSect="00A34FC0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BE" w:rsidRDefault="00822CBE" w:rsidP="007A0FE0">
      <w:pPr>
        <w:spacing w:after="0" w:line="240" w:lineRule="auto"/>
      </w:pPr>
      <w:r>
        <w:separator/>
      </w:r>
    </w:p>
  </w:endnote>
  <w:endnote w:type="continuationSeparator" w:id="0">
    <w:p w:rsidR="00822CBE" w:rsidRDefault="00822CBE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BE" w:rsidRDefault="00822CBE" w:rsidP="007A0FE0">
      <w:pPr>
        <w:spacing w:after="0" w:line="240" w:lineRule="auto"/>
      </w:pPr>
      <w:r>
        <w:separator/>
      </w:r>
    </w:p>
  </w:footnote>
  <w:footnote w:type="continuationSeparator" w:id="0">
    <w:p w:rsidR="00822CBE" w:rsidRDefault="00822CBE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462529"/>
      <w:docPartObj>
        <w:docPartGallery w:val="Page Numbers (Top of Page)"/>
        <w:docPartUnique/>
      </w:docPartObj>
    </w:sdtPr>
    <w:sdtEndPr/>
    <w:sdtContent>
      <w:p w:rsidR="00CA1636" w:rsidRDefault="00CA1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017" w:rsidRPr="00540017">
          <w:rPr>
            <w:noProof/>
            <w:lang w:val="ru-RU"/>
          </w:rPr>
          <w:t>2</w:t>
        </w:r>
        <w:r>
          <w:fldChar w:fldCharType="end"/>
        </w:r>
      </w:p>
    </w:sdtContent>
  </w:sdt>
  <w:p w:rsidR="00CA1636" w:rsidRDefault="00CA1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44ED"/>
    <w:multiLevelType w:val="hybridMultilevel"/>
    <w:tmpl w:val="7EAACD92"/>
    <w:lvl w:ilvl="0" w:tplc="59A459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5C07092"/>
    <w:multiLevelType w:val="hybridMultilevel"/>
    <w:tmpl w:val="5CBAD41E"/>
    <w:lvl w:ilvl="0" w:tplc="DA6879A0">
      <w:start w:val="10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3272B"/>
    <w:multiLevelType w:val="hybridMultilevel"/>
    <w:tmpl w:val="6F9067F6"/>
    <w:lvl w:ilvl="0" w:tplc="F2008AB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17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7"/>
  </w:num>
  <w:num w:numId="23">
    <w:abstractNumId w:val="4"/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2593"/>
    <w:rsid w:val="00002C08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3CEC"/>
    <w:rsid w:val="00054AA2"/>
    <w:rsid w:val="000552B8"/>
    <w:rsid w:val="00057046"/>
    <w:rsid w:val="000613FB"/>
    <w:rsid w:val="00065532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67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0FB6"/>
    <w:rsid w:val="000C3320"/>
    <w:rsid w:val="000C3595"/>
    <w:rsid w:val="000C4527"/>
    <w:rsid w:val="000C6F31"/>
    <w:rsid w:val="000C74F4"/>
    <w:rsid w:val="000D0FCB"/>
    <w:rsid w:val="000D25F8"/>
    <w:rsid w:val="000D3002"/>
    <w:rsid w:val="000D56FD"/>
    <w:rsid w:val="000D7263"/>
    <w:rsid w:val="000E0F8E"/>
    <w:rsid w:val="000E47B4"/>
    <w:rsid w:val="000E487C"/>
    <w:rsid w:val="000E4C41"/>
    <w:rsid w:val="000E52BC"/>
    <w:rsid w:val="000E5812"/>
    <w:rsid w:val="000E5F22"/>
    <w:rsid w:val="000F121F"/>
    <w:rsid w:val="001008D8"/>
    <w:rsid w:val="00101413"/>
    <w:rsid w:val="001019F7"/>
    <w:rsid w:val="00102F63"/>
    <w:rsid w:val="00104749"/>
    <w:rsid w:val="001061E1"/>
    <w:rsid w:val="00111E12"/>
    <w:rsid w:val="00112D22"/>
    <w:rsid w:val="00113721"/>
    <w:rsid w:val="00114AA4"/>
    <w:rsid w:val="001169F6"/>
    <w:rsid w:val="00116B72"/>
    <w:rsid w:val="00116D8D"/>
    <w:rsid w:val="00117E82"/>
    <w:rsid w:val="001226B0"/>
    <w:rsid w:val="00123C88"/>
    <w:rsid w:val="00125E22"/>
    <w:rsid w:val="001262E3"/>
    <w:rsid w:val="00127EA4"/>
    <w:rsid w:val="00131EBE"/>
    <w:rsid w:val="00133110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6EFC"/>
    <w:rsid w:val="00157300"/>
    <w:rsid w:val="00157C22"/>
    <w:rsid w:val="001601CB"/>
    <w:rsid w:val="00166088"/>
    <w:rsid w:val="00170C17"/>
    <w:rsid w:val="00172AB2"/>
    <w:rsid w:val="00172C7A"/>
    <w:rsid w:val="001768B9"/>
    <w:rsid w:val="00176915"/>
    <w:rsid w:val="001802ED"/>
    <w:rsid w:val="001805BA"/>
    <w:rsid w:val="00186AE8"/>
    <w:rsid w:val="00187E04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5ABE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45C1"/>
    <w:rsid w:val="001C6642"/>
    <w:rsid w:val="001C7734"/>
    <w:rsid w:val="001D02E8"/>
    <w:rsid w:val="001D1430"/>
    <w:rsid w:val="001D1438"/>
    <w:rsid w:val="001D4390"/>
    <w:rsid w:val="001D4FDF"/>
    <w:rsid w:val="001D54BD"/>
    <w:rsid w:val="001D5903"/>
    <w:rsid w:val="001E00D3"/>
    <w:rsid w:val="001E11AD"/>
    <w:rsid w:val="001E55FC"/>
    <w:rsid w:val="001E7117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C30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5C20"/>
    <w:rsid w:val="00276A4A"/>
    <w:rsid w:val="00277386"/>
    <w:rsid w:val="00281752"/>
    <w:rsid w:val="00281A24"/>
    <w:rsid w:val="00284032"/>
    <w:rsid w:val="002870F9"/>
    <w:rsid w:val="00287801"/>
    <w:rsid w:val="00290AE7"/>
    <w:rsid w:val="00295BB8"/>
    <w:rsid w:val="00296355"/>
    <w:rsid w:val="00296AFA"/>
    <w:rsid w:val="002A0728"/>
    <w:rsid w:val="002A1E53"/>
    <w:rsid w:val="002B35B7"/>
    <w:rsid w:val="002B3BE2"/>
    <w:rsid w:val="002B475B"/>
    <w:rsid w:val="002B4A3E"/>
    <w:rsid w:val="002B714D"/>
    <w:rsid w:val="002B7BB4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5A61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16616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4D63"/>
    <w:rsid w:val="00345D14"/>
    <w:rsid w:val="00347022"/>
    <w:rsid w:val="003472BD"/>
    <w:rsid w:val="003478EF"/>
    <w:rsid w:val="0034797D"/>
    <w:rsid w:val="0035141E"/>
    <w:rsid w:val="00351782"/>
    <w:rsid w:val="00351BED"/>
    <w:rsid w:val="00351EF2"/>
    <w:rsid w:val="003525FE"/>
    <w:rsid w:val="003540B0"/>
    <w:rsid w:val="00354755"/>
    <w:rsid w:val="003553F5"/>
    <w:rsid w:val="00357776"/>
    <w:rsid w:val="00360E04"/>
    <w:rsid w:val="00363B56"/>
    <w:rsid w:val="00367964"/>
    <w:rsid w:val="003709FA"/>
    <w:rsid w:val="00371C62"/>
    <w:rsid w:val="00371D87"/>
    <w:rsid w:val="00371E59"/>
    <w:rsid w:val="0037378C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B21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1A21"/>
    <w:rsid w:val="003D4E6E"/>
    <w:rsid w:val="003D4E76"/>
    <w:rsid w:val="003D6C57"/>
    <w:rsid w:val="003E02B0"/>
    <w:rsid w:val="003E3FF5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1EA3"/>
    <w:rsid w:val="004424B5"/>
    <w:rsid w:val="0044324F"/>
    <w:rsid w:val="004459BC"/>
    <w:rsid w:val="00445E41"/>
    <w:rsid w:val="00450CC2"/>
    <w:rsid w:val="00451110"/>
    <w:rsid w:val="00451FA2"/>
    <w:rsid w:val="0045294C"/>
    <w:rsid w:val="00455916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74BBE"/>
    <w:rsid w:val="0047501D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79"/>
    <w:rsid w:val="004B49B8"/>
    <w:rsid w:val="004B66A2"/>
    <w:rsid w:val="004B7507"/>
    <w:rsid w:val="004C31D3"/>
    <w:rsid w:val="004C6A0B"/>
    <w:rsid w:val="004C6AF7"/>
    <w:rsid w:val="004D0365"/>
    <w:rsid w:val="004D0686"/>
    <w:rsid w:val="004D0897"/>
    <w:rsid w:val="004D1867"/>
    <w:rsid w:val="004D3BF0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4F79F1"/>
    <w:rsid w:val="00501BBE"/>
    <w:rsid w:val="0050416B"/>
    <w:rsid w:val="00506346"/>
    <w:rsid w:val="00507E2E"/>
    <w:rsid w:val="00507E57"/>
    <w:rsid w:val="005104CF"/>
    <w:rsid w:val="00522857"/>
    <w:rsid w:val="0052791A"/>
    <w:rsid w:val="00534F50"/>
    <w:rsid w:val="00534F5B"/>
    <w:rsid w:val="005352BF"/>
    <w:rsid w:val="00536B42"/>
    <w:rsid w:val="00540017"/>
    <w:rsid w:val="005400ED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012"/>
    <w:rsid w:val="005A3BD1"/>
    <w:rsid w:val="005A5C6A"/>
    <w:rsid w:val="005A67A2"/>
    <w:rsid w:val="005A6A20"/>
    <w:rsid w:val="005A7B7B"/>
    <w:rsid w:val="005B1652"/>
    <w:rsid w:val="005B22C5"/>
    <w:rsid w:val="005B2439"/>
    <w:rsid w:val="005B3414"/>
    <w:rsid w:val="005B3B67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05282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3373"/>
    <w:rsid w:val="006360E7"/>
    <w:rsid w:val="00640978"/>
    <w:rsid w:val="006410BC"/>
    <w:rsid w:val="006418DD"/>
    <w:rsid w:val="006420E1"/>
    <w:rsid w:val="00645270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520F"/>
    <w:rsid w:val="006963C7"/>
    <w:rsid w:val="006A1CA3"/>
    <w:rsid w:val="006A428A"/>
    <w:rsid w:val="006A4F4A"/>
    <w:rsid w:val="006A667D"/>
    <w:rsid w:val="006A7886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DB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40F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132B"/>
    <w:rsid w:val="007950D1"/>
    <w:rsid w:val="007959D4"/>
    <w:rsid w:val="0079722D"/>
    <w:rsid w:val="007A06F9"/>
    <w:rsid w:val="007A0FE0"/>
    <w:rsid w:val="007A1A09"/>
    <w:rsid w:val="007A3AB4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0F38"/>
    <w:rsid w:val="007C18F3"/>
    <w:rsid w:val="007C220C"/>
    <w:rsid w:val="007C2366"/>
    <w:rsid w:val="007C44D0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6D60"/>
    <w:rsid w:val="007E740B"/>
    <w:rsid w:val="007E7D3A"/>
    <w:rsid w:val="007F1D08"/>
    <w:rsid w:val="007F3C0C"/>
    <w:rsid w:val="007F4106"/>
    <w:rsid w:val="007F4A6B"/>
    <w:rsid w:val="007F4DE5"/>
    <w:rsid w:val="007F518B"/>
    <w:rsid w:val="007F6D01"/>
    <w:rsid w:val="007F77CB"/>
    <w:rsid w:val="007F7C6C"/>
    <w:rsid w:val="00800817"/>
    <w:rsid w:val="008037F5"/>
    <w:rsid w:val="0080408F"/>
    <w:rsid w:val="008044D5"/>
    <w:rsid w:val="008044FB"/>
    <w:rsid w:val="00806E5D"/>
    <w:rsid w:val="00813846"/>
    <w:rsid w:val="008164EC"/>
    <w:rsid w:val="00817E2C"/>
    <w:rsid w:val="00822CBE"/>
    <w:rsid w:val="008254BF"/>
    <w:rsid w:val="00827243"/>
    <w:rsid w:val="0083347E"/>
    <w:rsid w:val="008355CD"/>
    <w:rsid w:val="00835AE4"/>
    <w:rsid w:val="00835B39"/>
    <w:rsid w:val="00836193"/>
    <w:rsid w:val="00837EC7"/>
    <w:rsid w:val="008411A3"/>
    <w:rsid w:val="00841708"/>
    <w:rsid w:val="008427A0"/>
    <w:rsid w:val="00844A7D"/>
    <w:rsid w:val="0084517A"/>
    <w:rsid w:val="00845E75"/>
    <w:rsid w:val="008462C3"/>
    <w:rsid w:val="008463F8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91E"/>
    <w:rsid w:val="00891E84"/>
    <w:rsid w:val="008936A6"/>
    <w:rsid w:val="008955F6"/>
    <w:rsid w:val="0089684A"/>
    <w:rsid w:val="0089688D"/>
    <w:rsid w:val="00896F5F"/>
    <w:rsid w:val="00897E29"/>
    <w:rsid w:val="008A3A6D"/>
    <w:rsid w:val="008A45C6"/>
    <w:rsid w:val="008A5FD6"/>
    <w:rsid w:val="008A7871"/>
    <w:rsid w:val="008A7E5F"/>
    <w:rsid w:val="008B1883"/>
    <w:rsid w:val="008B1B1B"/>
    <w:rsid w:val="008B220E"/>
    <w:rsid w:val="008B48A0"/>
    <w:rsid w:val="008C04B7"/>
    <w:rsid w:val="008C3BEC"/>
    <w:rsid w:val="008C3F16"/>
    <w:rsid w:val="008C4B11"/>
    <w:rsid w:val="008C4D9C"/>
    <w:rsid w:val="008C6211"/>
    <w:rsid w:val="008C6CCF"/>
    <w:rsid w:val="008C715B"/>
    <w:rsid w:val="008C78A1"/>
    <w:rsid w:val="008C79BD"/>
    <w:rsid w:val="008C7D43"/>
    <w:rsid w:val="008D5852"/>
    <w:rsid w:val="008E08B1"/>
    <w:rsid w:val="008E4EA4"/>
    <w:rsid w:val="008E6AC0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07697"/>
    <w:rsid w:val="00910627"/>
    <w:rsid w:val="009107FF"/>
    <w:rsid w:val="00910FF6"/>
    <w:rsid w:val="00914547"/>
    <w:rsid w:val="0091475C"/>
    <w:rsid w:val="0091643F"/>
    <w:rsid w:val="009176B6"/>
    <w:rsid w:val="00925D9F"/>
    <w:rsid w:val="00926E1E"/>
    <w:rsid w:val="00927A42"/>
    <w:rsid w:val="00934AC1"/>
    <w:rsid w:val="009365E1"/>
    <w:rsid w:val="0093711A"/>
    <w:rsid w:val="009378E5"/>
    <w:rsid w:val="00937ABD"/>
    <w:rsid w:val="00940F75"/>
    <w:rsid w:val="00945B3F"/>
    <w:rsid w:val="009478D1"/>
    <w:rsid w:val="00950631"/>
    <w:rsid w:val="009528D0"/>
    <w:rsid w:val="00952E38"/>
    <w:rsid w:val="00952F7C"/>
    <w:rsid w:val="00954B46"/>
    <w:rsid w:val="009552BA"/>
    <w:rsid w:val="009556D7"/>
    <w:rsid w:val="00956782"/>
    <w:rsid w:val="009658DA"/>
    <w:rsid w:val="00965C00"/>
    <w:rsid w:val="009676F1"/>
    <w:rsid w:val="0097110F"/>
    <w:rsid w:val="00971382"/>
    <w:rsid w:val="00973747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8788F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1F9F"/>
    <w:rsid w:val="009A5F55"/>
    <w:rsid w:val="009A6C57"/>
    <w:rsid w:val="009A70FF"/>
    <w:rsid w:val="009A7660"/>
    <w:rsid w:val="009B271E"/>
    <w:rsid w:val="009B344A"/>
    <w:rsid w:val="009C1587"/>
    <w:rsid w:val="009C3461"/>
    <w:rsid w:val="009C42D1"/>
    <w:rsid w:val="009C460F"/>
    <w:rsid w:val="009C5373"/>
    <w:rsid w:val="009D09EC"/>
    <w:rsid w:val="009D23B0"/>
    <w:rsid w:val="009D31A1"/>
    <w:rsid w:val="009D3EFF"/>
    <w:rsid w:val="009E2993"/>
    <w:rsid w:val="009E4DFF"/>
    <w:rsid w:val="009E5B8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775"/>
    <w:rsid w:val="00A32AE0"/>
    <w:rsid w:val="00A34FC0"/>
    <w:rsid w:val="00A35AF2"/>
    <w:rsid w:val="00A35F90"/>
    <w:rsid w:val="00A41923"/>
    <w:rsid w:val="00A41C0A"/>
    <w:rsid w:val="00A43BC1"/>
    <w:rsid w:val="00A449DA"/>
    <w:rsid w:val="00A453AC"/>
    <w:rsid w:val="00A46F4B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0EC1"/>
    <w:rsid w:val="00A9209E"/>
    <w:rsid w:val="00A92A54"/>
    <w:rsid w:val="00A95446"/>
    <w:rsid w:val="00A961EF"/>
    <w:rsid w:val="00A96F4F"/>
    <w:rsid w:val="00AA1896"/>
    <w:rsid w:val="00AA1BB0"/>
    <w:rsid w:val="00AA1FC2"/>
    <w:rsid w:val="00AA301C"/>
    <w:rsid w:val="00AA5A14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1BD7"/>
    <w:rsid w:val="00B0321C"/>
    <w:rsid w:val="00B03C02"/>
    <w:rsid w:val="00B048F0"/>
    <w:rsid w:val="00B04BC2"/>
    <w:rsid w:val="00B0526C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0F28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863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7640A"/>
    <w:rsid w:val="00B80A55"/>
    <w:rsid w:val="00B80A88"/>
    <w:rsid w:val="00B82AA2"/>
    <w:rsid w:val="00B82C57"/>
    <w:rsid w:val="00B82C62"/>
    <w:rsid w:val="00B84E7A"/>
    <w:rsid w:val="00B91135"/>
    <w:rsid w:val="00B92756"/>
    <w:rsid w:val="00B92E3B"/>
    <w:rsid w:val="00B9309B"/>
    <w:rsid w:val="00B976BF"/>
    <w:rsid w:val="00B979B9"/>
    <w:rsid w:val="00BA00BD"/>
    <w:rsid w:val="00BA054F"/>
    <w:rsid w:val="00BA10A5"/>
    <w:rsid w:val="00BA2976"/>
    <w:rsid w:val="00BA3AC0"/>
    <w:rsid w:val="00BA435A"/>
    <w:rsid w:val="00BA683E"/>
    <w:rsid w:val="00BA73AC"/>
    <w:rsid w:val="00BB0520"/>
    <w:rsid w:val="00BB0EA1"/>
    <w:rsid w:val="00BB2711"/>
    <w:rsid w:val="00BB296E"/>
    <w:rsid w:val="00BB4CF2"/>
    <w:rsid w:val="00BB79FB"/>
    <w:rsid w:val="00BC0A69"/>
    <w:rsid w:val="00BC1BB7"/>
    <w:rsid w:val="00BC2960"/>
    <w:rsid w:val="00BC3AE8"/>
    <w:rsid w:val="00BC4425"/>
    <w:rsid w:val="00BC648F"/>
    <w:rsid w:val="00BD0580"/>
    <w:rsid w:val="00BD1240"/>
    <w:rsid w:val="00BD208B"/>
    <w:rsid w:val="00BD2183"/>
    <w:rsid w:val="00BD2686"/>
    <w:rsid w:val="00BD2893"/>
    <w:rsid w:val="00BD3A9A"/>
    <w:rsid w:val="00BD4211"/>
    <w:rsid w:val="00BD4652"/>
    <w:rsid w:val="00BE05CB"/>
    <w:rsid w:val="00BE3655"/>
    <w:rsid w:val="00BE3CF4"/>
    <w:rsid w:val="00BF0601"/>
    <w:rsid w:val="00BF3C4C"/>
    <w:rsid w:val="00BF489A"/>
    <w:rsid w:val="00BF50E6"/>
    <w:rsid w:val="00BF6281"/>
    <w:rsid w:val="00BF7C8E"/>
    <w:rsid w:val="00C018EA"/>
    <w:rsid w:val="00C02763"/>
    <w:rsid w:val="00C03D20"/>
    <w:rsid w:val="00C055DA"/>
    <w:rsid w:val="00C07B9C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B62"/>
    <w:rsid w:val="00C32E96"/>
    <w:rsid w:val="00C34651"/>
    <w:rsid w:val="00C34675"/>
    <w:rsid w:val="00C35BF1"/>
    <w:rsid w:val="00C4032C"/>
    <w:rsid w:val="00C4208D"/>
    <w:rsid w:val="00C420D3"/>
    <w:rsid w:val="00C42110"/>
    <w:rsid w:val="00C42394"/>
    <w:rsid w:val="00C42E4B"/>
    <w:rsid w:val="00C46726"/>
    <w:rsid w:val="00C46E26"/>
    <w:rsid w:val="00C47B7E"/>
    <w:rsid w:val="00C5187A"/>
    <w:rsid w:val="00C52794"/>
    <w:rsid w:val="00C536FC"/>
    <w:rsid w:val="00C53CC4"/>
    <w:rsid w:val="00C53F7A"/>
    <w:rsid w:val="00C54BEC"/>
    <w:rsid w:val="00C56BF0"/>
    <w:rsid w:val="00C57BA8"/>
    <w:rsid w:val="00C60696"/>
    <w:rsid w:val="00C60BB6"/>
    <w:rsid w:val="00C62DA3"/>
    <w:rsid w:val="00C64200"/>
    <w:rsid w:val="00C64ADB"/>
    <w:rsid w:val="00C65C43"/>
    <w:rsid w:val="00C66791"/>
    <w:rsid w:val="00C70903"/>
    <w:rsid w:val="00C71AA8"/>
    <w:rsid w:val="00C727B8"/>
    <w:rsid w:val="00C72DFE"/>
    <w:rsid w:val="00C73E90"/>
    <w:rsid w:val="00C76049"/>
    <w:rsid w:val="00C77F48"/>
    <w:rsid w:val="00C80009"/>
    <w:rsid w:val="00C81237"/>
    <w:rsid w:val="00C81600"/>
    <w:rsid w:val="00C829C4"/>
    <w:rsid w:val="00C872AD"/>
    <w:rsid w:val="00C92E42"/>
    <w:rsid w:val="00C940DE"/>
    <w:rsid w:val="00C95923"/>
    <w:rsid w:val="00C96312"/>
    <w:rsid w:val="00C96A25"/>
    <w:rsid w:val="00CA124A"/>
    <w:rsid w:val="00CA1636"/>
    <w:rsid w:val="00CA1AF2"/>
    <w:rsid w:val="00CA3D0E"/>
    <w:rsid w:val="00CA5C81"/>
    <w:rsid w:val="00CA6CE0"/>
    <w:rsid w:val="00CB2AC9"/>
    <w:rsid w:val="00CB57C3"/>
    <w:rsid w:val="00CB6824"/>
    <w:rsid w:val="00CC197B"/>
    <w:rsid w:val="00CC3498"/>
    <w:rsid w:val="00CC3AFA"/>
    <w:rsid w:val="00CC6F8B"/>
    <w:rsid w:val="00CD15FD"/>
    <w:rsid w:val="00CD1EE6"/>
    <w:rsid w:val="00CD26DB"/>
    <w:rsid w:val="00CD2ADF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568"/>
    <w:rsid w:val="00CF49BD"/>
    <w:rsid w:val="00CF617E"/>
    <w:rsid w:val="00D0082C"/>
    <w:rsid w:val="00D00BBA"/>
    <w:rsid w:val="00D03056"/>
    <w:rsid w:val="00D03271"/>
    <w:rsid w:val="00D04AEA"/>
    <w:rsid w:val="00D074E3"/>
    <w:rsid w:val="00D07793"/>
    <w:rsid w:val="00D11305"/>
    <w:rsid w:val="00D11BEF"/>
    <w:rsid w:val="00D1558F"/>
    <w:rsid w:val="00D16E3E"/>
    <w:rsid w:val="00D17B30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5A7"/>
    <w:rsid w:val="00D56717"/>
    <w:rsid w:val="00D567A5"/>
    <w:rsid w:val="00D60316"/>
    <w:rsid w:val="00D619D8"/>
    <w:rsid w:val="00D63B85"/>
    <w:rsid w:val="00D63DCC"/>
    <w:rsid w:val="00D65518"/>
    <w:rsid w:val="00D678A6"/>
    <w:rsid w:val="00D7139B"/>
    <w:rsid w:val="00D71A02"/>
    <w:rsid w:val="00D72295"/>
    <w:rsid w:val="00D73906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C5BE3"/>
    <w:rsid w:val="00DD2CE5"/>
    <w:rsid w:val="00DD46EE"/>
    <w:rsid w:val="00DD4BE1"/>
    <w:rsid w:val="00DD4DF0"/>
    <w:rsid w:val="00DE0998"/>
    <w:rsid w:val="00DE1136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0388"/>
    <w:rsid w:val="00E1197E"/>
    <w:rsid w:val="00E12605"/>
    <w:rsid w:val="00E142D2"/>
    <w:rsid w:val="00E178D5"/>
    <w:rsid w:val="00E206A9"/>
    <w:rsid w:val="00E21375"/>
    <w:rsid w:val="00E21420"/>
    <w:rsid w:val="00E227FF"/>
    <w:rsid w:val="00E22B57"/>
    <w:rsid w:val="00E22DF9"/>
    <w:rsid w:val="00E2316C"/>
    <w:rsid w:val="00E24469"/>
    <w:rsid w:val="00E24D27"/>
    <w:rsid w:val="00E26154"/>
    <w:rsid w:val="00E30AE5"/>
    <w:rsid w:val="00E31218"/>
    <w:rsid w:val="00E32259"/>
    <w:rsid w:val="00E332F4"/>
    <w:rsid w:val="00E33921"/>
    <w:rsid w:val="00E346C5"/>
    <w:rsid w:val="00E371F2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715"/>
    <w:rsid w:val="00E678E8"/>
    <w:rsid w:val="00E717CA"/>
    <w:rsid w:val="00E718D6"/>
    <w:rsid w:val="00E728EB"/>
    <w:rsid w:val="00E743C8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458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78"/>
    <w:rsid w:val="00EE29EB"/>
    <w:rsid w:val="00EE34ED"/>
    <w:rsid w:val="00EE444A"/>
    <w:rsid w:val="00EE5EE7"/>
    <w:rsid w:val="00EE7253"/>
    <w:rsid w:val="00EE7749"/>
    <w:rsid w:val="00EE7A24"/>
    <w:rsid w:val="00EF010E"/>
    <w:rsid w:val="00EF2371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1769F"/>
    <w:rsid w:val="00F21223"/>
    <w:rsid w:val="00F221F5"/>
    <w:rsid w:val="00F23009"/>
    <w:rsid w:val="00F272BE"/>
    <w:rsid w:val="00F3156B"/>
    <w:rsid w:val="00F3265D"/>
    <w:rsid w:val="00F33858"/>
    <w:rsid w:val="00F340D9"/>
    <w:rsid w:val="00F4276C"/>
    <w:rsid w:val="00F4319A"/>
    <w:rsid w:val="00F44D90"/>
    <w:rsid w:val="00F46184"/>
    <w:rsid w:val="00F46D9B"/>
    <w:rsid w:val="00F51163"/>
    <w:rsid w:val="00F524E3"/>
    <w:rsid w:val="00F544C8"/>
    <w:rsid w:val="00F55845"/>
    <w:rsid w:val="00F56CED"/>
    <w:rsid w:val="00F572EB"/>
    <w:rsid w:val="00F613DF"/>
    <w:rsid w:val="00F618F9"/>
    <w:rsid w:val="00F61979"/>
    <w:rsid w:val="00F619F6"/>
    <w:rsid w:val="00F61A11"/>
    <w:rsid w:val="00F65275"/>
    <w:rsid w:val="00F65D1F"/>
    <w:rsid w:val="00F66515"/>
    <w:rsid w:val="00F66E2A"/>
    <w:rsid w:val="00F70DC0"/>
    <w:rsid w:val="00F7131C"/>
    <w:rsid w:val="00F71DC5"/>
    <w:rsid w:val="00F74021"/>
    <w:rsid w:val="00F77324"/>
    <w:rsid w:val="00F77D68"/>
    <w:rsid w:val="00F82B44"/>
    <w:rsid w:val="00F844D5"/>
    <w:rsid w:val="00F84928"/>
    <w:rsid w:val="00F85DCE"/>
    <w:rsid w:val="00F8707A"/>
    <w:rsid w:val="00F90528"/>
    <w:rsid w:val="00F905E7"/>
    <w:rsid w:val="00F910DA"/>
    <w:rsid w:val="00F92C20"/>
    <w:rsid w:val="00F92F26"/>
    <w:rsid w:val="00F951B8"/>
    <w:rsid w:val="00F95675"/>
    <w:rsid w:val="00F9595B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E4A76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  <w:style w:type="character" w:styleId="af2">
    <w:name w:val="Hyperlink"/>
    <w:basedOn w:val="a0"/>
    <w:uiPriority w:val="99"/>
    <w:semiHidden/>
    <w:unhideWhenUsed/>
    <w:rsid w:val="001E711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E7117"/>
    <w:rPr>
      <w:color w:val="800080"/>
      <w:u w:val="single"/>
    </w:rPr>
  </w:style>
  <w:style w:type="paragraph" w:customStyle="1" w:styleId="font5">
    <w:name w:val="font5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xl65">
    <w:name w:val="xl65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6">
    <w:name w:val="xl8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1E71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7">
    <w:name w:val="xl15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8">
    <w:name w:val="xl158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9">
    <w:name w:val="xl159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0">
    <w:name w:val="xl160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1">
    <w:name w:val="xl161"/>
    <w:basedOn w:val="a"/>
    <w:rsid w:val="001E71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7">
    <w:name w:val="xl167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8">
    <w:name w:val="xl168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1E71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1E711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4">
    <w:name w:val="xl174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3">
    <w:name w:val="xl183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4">
    <w:name w:val="xl184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5">
    <w:name w:val="xl185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6">
    <w:name w:val="xl186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7">
    <w:name w:val="xl187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8">
    <w:name w:val="xl188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9">
    <w:name w:val="xl189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0">
    <w:name w:val="xl190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1">
    <w:name w:val="xl191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1E711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3">
    <w:name w:val="xl193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4">
    <w:name w:val="xl194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5">
    <w:name w:val="xl195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6">
    <w:name w:val="xl196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7">
    <w:name w:val="xl197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8">
    <w:name w:val="xl198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9">
    <w:name w:val="xl199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0">
    <w:name w:val="xl200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1">
    <w:name w:val="xl201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2">
    <w:name w:val="xl202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3">
    <w:name w:val="xl203"/>
    <w:basedOn w:val="a"/>
    <w:rsid w:val="001E71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4">
    <w:name w:val="xl204"/>
    <w:basedOn w:val="a"/>
    <w:rsid w:val="001E71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5">
    <w:name w:val="xl205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6">
    <w:name w:val="xl206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7">
    <w:name w:val="xl207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8">
    <w:name w:val="xl208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09">
    <w:name w:val="xl209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0">
    <w:name w:val="xl210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1">
    <w:name w:val="xl211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2">
    <w:name w:val="xl212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3">
    <w:name w:val="xl213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4">
    <w:name w:val="xl214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5">
    <w:name w:val="xl215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6">
    <w:name w:val="xl216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7">
    <w:name w:val="xl217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8">
    <w:name w:val="xl218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19">
    <w:name w:val="xl219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0">
    <w:name w:val="xl220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1">
    <w:name w:val="xl221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2">
    <w:name w:val="xl222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3">
    <w:name w:val="xl223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4">
    <w:name w:val="xl224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5">
    <w:name w:val="xl225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6">
    <w:name w:val="xl226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7">
    <w:name w:val="xl227"/>
    <w:basedOn w:val="a"/>
    <w:rsid w:val="001E711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8">
    <w:name w:val="xl228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29">
    <w:name w:val="xl229"/>
    <w:basedOn w:val="a"/>
    <w:rsid w:val="001E71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0">
    <w:name w:val="xl230"/>
    <w:basedOn w:val="a"/>
    <w:rsid w:val="001E71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1">
    <w:name w:val="xl231"/>
    <w:basedOn w:val="a"/>
    <w:rsid w:val="001E71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2">
    <w:name w:val="xl232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3">
    <w:name w:val="xl233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4">
    <w:name w:val="xl234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5">
    <w:name w:val="xl235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6">
    <w:name w:val="xl236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7">
    <w:name w:val="xl237"/>
    <w:basedOn w:val="a"/>
    <w:rsid w:val="001E71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xl238">
    <w:name w:val="xl238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39">
    <w:name w:val="xl239"/>
    <w:basedOn w:val="a"/>
    <w:rsid w:val="001E71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0">
    <w:name w:val="xl240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1">
    <w:name w:val="xl241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2">
    <w:name w:val="xl242"/>
    <w:basedOn w:val="a"/>
    <w:rsid w:val="001E711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3">
    <w:name w:val="xl243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4">
    <w:name w:val="xl244"/>
    <w:basedOn w:val="a"/>
    <w:rsid w:val="001E71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5">
    <w:name w:val="xl245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6">
    <w:name w:val="xl246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7">
    <w:name w:val="xl247"/>
    <w:basedOn w:val="a"/>
    <w:rsid w:val="001E71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8">
    <w:name w:val="xl248"/>
    <w:basedOn w:val="a"/>
    <w:rsid w:val="001E71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49">
    <w:name w:val="xl249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0">
    <w:name w:val="xl250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1">
    <w:name w:val="xl251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2">
    <w:name w:val="xl252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3">
    <w:name w:val="xl253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4">
    <w:name w:val="xl254"/>
    <w:basedOn w:val="a"/>
    <w:rsid w:val="001E71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5">
    <w:name w:val="xl255"/>
    <w:basedOn w:val="a"/>
    <w:rsid w:val="001E71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6">
    <w:name w:val="xl256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7">
    <w:name w:val="xl257"/>
    <w:basedOn w:val="a"/>
    <w:rsid w:val="001E7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8">
    <w:name w:val="xl258"/>
    <w:basedOn w:val="a"/>
    <w:rsid w:val="001E71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59">
    <w:name w:val="xl259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0">
    <w:name w:val="xl260"/>
    <w:basedOn w:val="a"/>
    <w:rsid w:val="001E71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1">
    <w:name w:val="xl261"/>
    <w:basedOn w:val="a"/>
    <w:rsid w:val="001E71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2">
    <w:name w:val="xl262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3">
    <w:name w:val="xl263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4">
    <w:name w:val="xl264"/>
    <w:basedOn w:val="a"/>
    <w:rsid w:val="001E71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5">
    <w:name w:val="xl265"/>
    <w:basedOn w:val="a"/>
    <w:rsid w:val="001E711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6">
    <w:name w:val="xl266"/>
    <w:basedOn w:val="a"/>
    <w:rsid w:val="001E711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7">
    <w:name w:val="xl267"/>
    <w:basedOn w:val="a"/>
    <w:rsid w:val="001E71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8">
    <w:name w:val="xl268"/>
    <w:basedOn w:val="a"/>
    <w:rsid w:val="001E71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69">
    <w:name w:val="xl269"/>
    <w:basedOn w:val="a"/>
    <w:rsid w:val="001E711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0">
    <w:name w:val="xl270"/>
    <w:basedOn w:val="a"/>
    <w:rsid w:val="001E71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1">
    <w:name w:val="xl271"/>
    <w:basedOn w:val="a"/>
    <w:rsid w:val="001E711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2">
    <w:name w:val="xl272"/>
    <w:basedOn w:val="a"/>
    <w:rsid w:val="001E71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3">
    <w:name w:val="xl273"/>
    <w:basedOn w:val="a"/>
    <w:rsid w:val="001E71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4">
    <w:name w:val="xl274"/>
    <w:basedOn w:val="a"/>
    <w:rsid w:val="001E71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5">
    <w:name w:val="xl275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6">
    <w:name w:val="xl276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7">
    <w:name w:val="xl277"/>
    <w:basedOn w:val="a"/>
    <w:rsid w:val="001E711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8">
    <w:name w:val="xl278"/>
    <w:basedOn w:val="a"/>
    <w:rsid w:val="001E711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79">
    <w:name w:val="xl279"/>
    <w:basedOn w:val="a"/>
    <w:rsid w:val="001E71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0">
    <w:name w:val="xl280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1">
    <w:name w:val="xl281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2">
    <w:name w:val="xl282"/>
    <w:basedOn w:val="a"/>
    <w:rsid w:val="001E71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3">
    <w:name w:val="xl283"/>
    <w:basedOn w:val="a"/>
    <w:rsid w:val="001E71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4">
    <w:name w:val="xl284"/>
    <w:basedOn w:val="a"/>
    <w:rsid w:val="001E711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5">
    <w:name w:val="xl285"/>
    <w:basedOn w:val="a"/>
    <w:rsid w:val="001E711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6">
    <w:name w:val="xl286"/>
    <w:basedOn w:val="a"/>
    <w:rsid w:val="001E711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7">
    <w:name w:val="xl287"/>
    <w:basedOn w:val="a"/>
    <w:rsid w:val="001E71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8">
    <w:name w:val="xl288"/>
    <w:basedOn w:val="a"/>
    <w:rsid w:val="001E71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89">
    <w:name w:val="xl289"/>
    <w:basedOn w:val="a"/>
    <w:rsid w:val="001E71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0">
    <w:name w:val="xl290"/>
    <w:basedOn w:val="a"/>
    <w:rsid w:val="001E71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1">
    <w:name w:val="xl291"/>
    <w:basedOn w:val="a"/>
    <w:rsid w:val="001E71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2">
    <w:name w:val="xl292"/>
    <w:basedOn w:val="a"/>
    <w:rsid w:val="001E711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3">
    <w:name w:val="xl293"/>
    <w:basedOn w:val="a"/>
    <w:rsid w:val="001E711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4">
    <w:name w:val="xl294"/>
    <w:basedOn w:val="a"/>
    <w:rsid w:val="001E71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5">
    <w:name w:val="xl295"/>
    <w:basedOn w:val="a"/>
    <w:rsid w:val="001E71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6">
    <w:name w:val="xl296"/>
    <w:basedOn w:val="a"/>
    <w:rsid w:val="001E71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7">
    <w:name w:val="xl297"/>
    <w:basedOn w:val="a"/>
    <w:rsid w:val="001E71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298">
    <w:name w:val="xl298"/>
    <w:basedOn w:val="a"/>
    <w:rsid w:val="001E71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age number"/>
    <w:basedOn w:val="a0"/>
    <w:rsid w:val="005B22C5"/>
  </w:style>
  <w:style w:type="character" w:styleId="af5">
    <w:name w:val="line number"/>
    <w:basedOn w:val="a0"/>
    <w:uiPriority w:val="99"/>
    <w:semiHidden/>
    <w:unhideWhenUsed/>
    <w:rsid w:val="00A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72;n=50511;fld=134;dst=10119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6FD9-0077-4724-A6B2-AEBCEA67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25004</Words>
  <Characters>142527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2020-12-25T10:49:00Z</cp:lastPrinted>
  <dcterms:created xsi:type="dcterms:W3CDTF">2020-12-25T10:51:00Z</dcterms:created>
  <dcterms:modified xsi:type="dcterms:W3CDTF">2020-12-25T10:51:00Z</dcterms:modified>
</cp:coreProperties>
</file>