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B83CD3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150FA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Pr="00EC21E4" w:rsidRDefault="0009616D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12.11.2019</w:t>
      </w:r>
      <w:r w:rsidR="00602CE8">
        <w:rPr>
          <w:b/>
          <w:noProof w:val="0"/>
          <w:sz w:val="28"/>
          <w:szCs w:val="28"/>
        </w:rPr>
        <w:t xml:space="preserve">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№ 831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 w:rsidR="002923C7">
        <w:rPr>
          <w:i/>
          <w:sz w:val="24"/>
        </w:rPr>
        <w:t>округа Муром от 13</w:t>
      </w:r>
      <w:r>
        <w:rPr>
          <w:i/>
          <w:sz w:val="24"/>
        </w:rPr>
        <w:t>.09.2018 № 661 «Об утверждении муниципальной программы «Молодежь Мурома» на 2019 -2021 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942E2" w:rsidRPr="002923C7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Внести</w:t>
      </w:r>
      <w:r w:rsidRPr="004B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5CA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</w:t>
      </w:r>
      <w:r w:rsidRPr="004B5CA4">
        <w:rPr>
          <w:sz w:val="28"/>
          <w:szCs w:val="28"/>
        </w:rPr>
        <w:t xml:space="preserve">ции </w:t>
      </w:r>
      <w:r w:rsidR="002923C7">
        <w:rPr>
          <w:sz w:val="28"/>
          <w:szCs w:val="28"/>
        </w:rPr>
        <w:t>округа Муром от 13</w:t>
      </w:r>
      <w:r>
        <w:rPr>
          <w:sz w:val="28"/>
          <w:szCs w:val="28"/>
        </w:rPr>
        <w:t>.09.2018 № 661</w:t>
      </w:r>
      <w:r w:rsidRPr="004B5CA4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годы», изложив его в новой редакции согласно приложению.</w:t>
      </w:r>
    </w:p>
    <w:p w:rsidR="002923C7" w:rsidRPr="004D789F" w:rsidRDefault="002923C7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Считать утратившим силу постановление администра</w:t>
      </w:r>
      <w:r w:rsidRPr="004B5CA4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округа Муром от </w:t>
      </w:r>
      <w:r w:rsidR="00602CE8">
        <w:rPr>
          <w:sz w:val="28"/>
          <w:szCs w:val="28"/>
        </w:rPr>
        <w:t>1</w:t>
      </w:r>
      <w:r w:rsidR="001914B4">
        <w:rPr>
          <w:sz w:val="28"/>
          <w:szCs w:val="28"/>
        </w:rPr>
        <w:t>2</w:t>
      </w:r>
      <w:bookmarkStart w:id="0" w:name="_GoBack"/>
      <w:bookmarkEnd w:id="0"/>
      <w:r w:rsidR="00602CE8">
        <w:rPr>
          <w:sz w:val="28"/>
          <w:szCs w:val="28"/>
        </w:rPr>
        <w:t>.09</w:t>
      </w:r>
      <w:r>
        <w:rPr>
          <w:sz w:val="28"/>
          <w:szCs w:val="28"/>
        </w:rPr>
        <w:t xml:space="preserve">.2019 № </w:t>
      </w:r>
      <w:r w:rsidR="00602CE8">
        <w:rPr>
          <w:sz w:val="28"/>
          <w:szCs w:val="28"/>
        </w:rPr>
        <w:t>679</w:t>
      </w:r>
      <w:r w:rsidRPr="004B5CA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округа Муром от 13.09.2018 года № 661 «</w:t>
      </w:r>
      <w:r w:rsidRPr="004B5CA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C01C89">
        <w:rPr>
          <w:sz w:val="28"/>
          <w:szCs w:val="28"/>
        </w:rPr>
        <w:t>размещению на официальном сайте Администрации округа Муром.</w:t>
      </w:r>
    </w:p>
    <w:p w:rsidR="003942E2" w:rsidRDefault="003942E2" w:rsidP="003942E2">
      <w:pPr>
        <w:ind w:firstLine="709"/>
        <w:jc w:val="both"/>
        <w:rPr>
          <w:sz w:val="28"/>
          <w:szCs w:val="28"/>
        </w:rPr>
      </w:pP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C01C89">
      <w:pPr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2923C7" w:rsidRDefault="002923C7" w:rsidP="00364E84">
      <w:pPr>
        <w:ind w:right="5527"/>
        <w:rPr>
          <w:noProof w:val="0"/>
          <w:sz w:val="28"/>
          <w:szCs w:val="28"/>
        </w:rPr>
      </w:pPr>
    </w:p>
    <w:p w:rsidR="00364E84" w:rsidRPr="004E55D0" w:rsidRDefault="00364E84" w:rsidP="00364E84">
      <w:pPr>
        <w:ind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 w:rsidTr="002E6EC6">
        <w:trPr>
          <w:trHeight w:val="443"/>
        </w:trPr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D8444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364E84" w:rsidRDefault="00364E84" w:rsidP="00BD4F0E">
            <w:pPr>
              <w:pStyle w:val="11"/>
              <w:ind w:left="639"/>
              <w:rPr>
                <w:rStyle w:val="a5"/>
                <w:b w:val="0"/>
                <w:color w:val="222222"/>
                <w:sz w:val="24"/>
                <w:szCs w:val="24"/>
              </w:rPr>
            </w:pPr>
            <w:r w:rsidRPr="00364E84">
              <w:rPr>
                <w:rStyle w:val="a5"/>
                <w:b w:val="0"/>
                <w:color w:val="222222"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364E84" w:rsidRPr="00364E84" w:rsidRDefault="00364E84" w:rsidP="00BD4F0E">
            <w:pPr>
              <w:pStyle w:val="11"/>
              <w:ind w:left="639"/>
              <w:rPr>
                <w:rFonts w:asciiTheme="minorHAnsi" w:hAnsiTheme="minorHAnsi"/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D84448" w:rsidP="00A03584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364E84" w:rsidRDefault="00364E84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364E84" w:rsidRDefault="00364E84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364E84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  <w:p w:rsidR="00364E84" w:rsidRDefault="00364E84" w:rsidP="00364E84">
            <w:pPr>
              <w:pStyle w:val="11"/>
              <w:jc w:val="both"/>
              <w:rPr>
                <w:sz w:val="24"/>
              </w:rPr>
            </w:pPr>
          </w:p>
          <w:p w:rsidR="009F55EF" w:rsidRPr="00272F1A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D84448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AF3E34">
        <w:rPr>
          <w:i/>
          <w:sz w:val="23"/>
          <w:szCs w:val="23"/>
        </w:rPr>
        <w:t>О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 xml:space="preserve">внесении изменений в 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>приложение к постановлению</w:t>
      </w:r>
      <w:r w:rsidR="00AF3E34" w:rsidRPr="004B5CA4">
        <w:rPr>
          <w:i/>
          <w:sz w:val="24"/>
        </w:rPr>
        <w:t xml:space="preserve"> администрации </w:t>
      </w:r>
      <w:r w:rsidR="00AF3E34">
        <w:rPr>
          <w:i/>
          <w:sz w:val="24"/>
        </w:rPr>
        <w:t>округа Муром от 1</w:t>
      </w:r>
      <w:r w:rsidR="002923C7">
        <w:rPr>
          <w:i/>
          <w:sz w:val="24"/>
        </w:rPr>
        <w:t>3</w:t>
      </w:r>
      <w:r w:rsidR="00AF3E34">
        <w:rPr>
          <w:i/>
          <w:sz w:val="24"/>
        </w:rPr>
        <w:t>.09.2018</w:t>
      </w:r>
      <w:r w:rsidR="00272F1A">
        <w:rPr>
          <w:i/>
          <w:sz w:val="24"/>
        </w:rPr>
        <w:t xml:space="preserve"> </w:t>
      </w:r>
      <w:r w:rsidR="00AF3E34">
        <w:rPr>
          <w:i/>
          <w:sz w:val="24"/>
        </w:rPr>
        <w:t xml:space="preserve">года № </w:t>
      </w:r>
      <w:r w:rsidR="000E57F1">
        <w:rPr>
          <w:i/>
          <w:sz w:val="24"/>
        </w:rPr>
        <w:t>6</w:t>
      </w:r>
      <w:r w:rsidR="00AF3E34">
        <w:rPr>
          <w:i/>
          <w:sz w:val="24"/>
        </w:rPr>
        <w:t xml:space="preserve">61 «Об утверждении </w:t>
      </w:r>
      <w:r w:rsidR="00AF3E34" w:rsidRPr="004E55D0">
        <w:rPr>
          <w:i/>
          <w:sz w:val="23"/>
          <w:szCs w:val="23"/>
        </w:rPr>
        <w:t>муниципальной программы «Молодежь Мурома</w:t>
      </w:r>
      <w:r w:rsidR="00AF3E34">
        <w:rPr>
          <w:i/>
          <w:sz w:val="23"/>
          <w:szCs w:val="23"/>
        </w:rPr>
        <w:t>»</w:t>
      </w:r>
      <w:r w:rsidR="00AF3E34" w:rsidRPr="004E55D0">
        <w:rPr>
          <w:i/>
          <w:sz w:val="24"/>
          <w:szCs w:val="24"/>
        </w:rPr>
        <w:t xml:space="preserve"> на 201</w:t>
      </w:r>
      <w:r w:rsidR="00AF3E34">
        <w:rPr>
          <w:i/>
          <w:sz w:val="24"/>
          <w:szCs w:val="24"/>
        </w:rPr>
        <w:t>9</w:t>
      </w:r>
      <w:r w:rsidR="00AF3E34" w:rsidRPr="004E55D0">
        <w:rPr>
          <w:i/>
          <w:sz w:val="24"/>
          <w:szCs w:val="24"/>
        </w:rPr>
        <w:t>-20</w:t>
      </w:r>
      <w:r w:rsidR="00AF3E34">
        <w:rPr>
          <w:i/>
          <w:sz w:val="24"/>
          <w:szCs w:val="24"/>
        </w:rPr>
        <w:t xml:space="preserve">21 </w:t>
      </w:r>
      <w:r w:rsidR="00AF3E34" w:rsidRPr="004E55D0">
        <w:rPr>
          <w:i/>
          <w:sz w:val="24"/>
          <w:szCs w:val="24"/>
        </w:rPr>
        <w:t>годы</w:t>
      </w:r>
      <w:r w:rsidR="00AF3E3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364E84" w:rsidRDefault="00364E84" w:rsidP="00AF3E34">
      <w:pPr>
        <w:jc w:val="right"/>
        <w:rPr>
          <w:sz w:val="24"/>
          <w:szCs w:val="24"/>
        </w:rPr>
      </w:pPr>
    </w:p>
    <w:p w:rsidR="0009616D" w:rsidRDefault="0009616D" w:rsidP="00AF3E34">
      <w:pPr>
        <w:jc w:val="right"/>
        <w:rPr>
          <w:sz w:val="24"/>
          <w:szCs w:val="24"/>
        </w:rPr>
      </w:pPr>
    </w:p>
    <w:p w:rsidR="00C36293" w:rsidRPr="00EB5BCD" w:rsidRDefault="00C36293" w:rsidP="00AF3E3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09616D">
        <w:rPr>
          <w:rFonts w:ascii="Times New Roman" w:hAnsi="Times New Roman" w:cs="Times New Roman"/>
          <w:bCs/>
          <w:iCs/>
          <w:sz w:val="24"/>
          <w:szCs w:val="24"/>
        </w:rPr>
        <w:t>12.11.2019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09616D">
        <w:rPr>
          <w:rFonts w:ascii="Times New Roman" w:hAnsi="Times New Roman" w:cs="Times New Roman"/>
          <w:bCs/>
          <w:iCs/>
          <w:sz w:val="24"/>
          <w:szCs w:val="24"/>
        </w:rPr>
        <w:t>831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3569D2" w:rsidRDefault="0090339B" w:rsidP="003569D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7D72" w:rsidRPr="00697D72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Поддержка молодежи, молодежных инициатив, молодой семьи;</w:t>
            </w:r>
          </w:p>
          <w:p w:rsidR="008D1C2F" w:rsidRPr="00373EE7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14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</w:t>
            </w:r>
            <w:r w:rsidR="00B72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B751E9" w:rsidRPr="00373EE7" w:rsidRDefault="009755C2" w:rsidP="00373EE7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охваченных антинаркотическими 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</w:t>
            </w:r>
            <w:r w:rsidR="005B63DA">
              <w:rPr>
                <w:color w:val="000000" w:themeColor="text1"/>
              </w:rPr>
              <w:t>3 10</w:t>
            </w:r>
            <w:r w:rsidR="00EA1A97">
              <w:rPr>
                <w:color w:val="000000" w:themeColor="text1"/>
              </w:rPr>
              <w:t>4</w:t>
            </w:r>
            <w:r w:rsidR="002A6B33">
              <w:rPr>
                <w:color w:val="000000" w:themeColor="text1"/>
              </w:rPr>
              <w:t>,9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EA1A97">
              <w:t>5 </w:t>
            </w:r>
            <w:r w:rsidR="005B63DA">
              <w:t>64</w:t>
            </w:r>
            <w:r w:rsidR="00EA1A97">
              <w:t>8</w:t>
            </w:r>
            <w:r w:rsidR="002A6B33">
              <w:t>,7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5B63DA">
              <w:t>26</w:t>
            </w:r>
            <w:r w:rsidR="00EA1A97">
              <w:t>0</w:t>
            </w:r>
            <w:r w:rsidR="00373EE7">
              <w:t>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EA1A97">
              <w:t>5</w:t>
            </w:r>
            <w:r w:rsidR="002A6B33">
              <w:t> 3</w:t>
            </w:r>
            <w:r w:rsidR="00EA1A97">
              <w:t>88</w:t>
            </w:r>
            <w:r w:rsidR="002A6B33">
              <w:t>,7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2A6B33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A6B33">
              <w:t>3 728,1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2A6B33">
              <w:rPr>
                <w:color w:val="000000" w:themeColor="text1"/>
              </w:rPr>
              <w:t>3 728,1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2A6B33">
              <w:rPr>
                <w:color w:val="000000" w:themeColor="text1"/>
              </w:rPr>
              <w:t>3 728,1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5C2">
              <w:rPr>
                <w:sz w:val="24"/>
                <w:szCs w:val="24"/>
              </w:rPr>
              <w:t>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 xml:space="preserve">ркотическими </w:t>
            </w:r>
            <w:r w:rsidR="00490F59">
              <w:rPr>
                <w:sz w:val="24"/>
                <w:szCs w:val="24"/>
              </w:rPr>
              <w:lastRenderedPageBreak/>
              <w:t>мероприятиями с 6750 человек в 2019 году до 7050 человек в 2021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 w:rsidR="00AE5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</w:t>
      </w:r>
      <w:r w:rsidR="00B7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559"/>
        <w:gridCol w:w="1134"/>
        <w:gridCol w:w="1276"/>
        <w:gridCol w:w="1276"/>
        <w:gridCol w:w="1275"/>
      </w:tblGrid>
      <w:tr w:rsidR="00B422A3" w:rsidRPr="00BA1CAC" w:rsidTr="006974ED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6974ED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559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134" w:type="dxa"/>
            <w:vAlign w:val="center"/>
          </w:tcPr>
          <w:p w:rsidR="00B422A3" w:rsidRPr="00095410" w:rsidRDefault="006974ED" w:rsidP="007142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5 388</w:t>
            </w:r>
            <w:r w:rsidR="00714245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6974E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974ED">
              <w:rPr>
                <w:color w:val="000000" w:themeColor="text1"/>
                <w:sz w:val="28"/>
                <w:szCs w:val="28"/>
              </w:rPr>
              <w:t>2</w:t>
            </w:r>
            <w:r w:rsidR="0006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74ED">
              <w:rPr>
                <w:color w:val="000000" w:themeColor="text1"/>
                <w:sz w:val="28"/>
                <w:szCs w:val="28"/>
              </w:rPr>
              <w:t>844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2A6B33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6974ED" w:rsidRPr="00BA1CAC" w:rsidTr="006974ED">
        <w:trPr>
          <w:trHeight w:val="992"/>
        </w:trPr>
        <w:tc>
          <w:tcPr>
            <w:tcW w:w="540" w:type="dxa"/>
            <w:vMerge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974ED" w:rsidRPr="00095410" w:rsidRDefault="006974ED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ED" w:rsidRPr="00095410" w:rsidRDefault="006974ED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6974ED" w:rsidRPr="00095410" w:rsidRDefault="005B63DA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6974ED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974ED" w:rsidRPr="00095410" w:rsidRDefault="005B63DA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6974ED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6974ED">
        <w:tc>
          <w:tcPr>
            <w:tcW w:w="4678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373EE7" w:rsidRDefault="005B63DA" w:rsidP="006974ED">
            <w:r>
              <w:rPr>
                <w:color w:val="000000" w:themeColor="text1"/>
                <w:sz w:val="28"/>
                <w:szCs w:val="28"/>
              </w:rPr>
              <w:t>5 64</w:t>
            </w:r>
            <w:r w:rsidR="006974ED">
              <w:rPr>
                <w:color w:val="000000" w:themeColor="text1"/>
                <w:sz w:val="28"/>
                <w:szCs w:val="28"/>
              </w:rPr>
              <w:t>8</w:t>
            </w:r>
            <w:r w:rsidR="00714245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373EE7" w:rsidRPr="00095410" w:rsidRDefault="005B63DA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13 10</w:t>
            </w:r>
            <w:r w:rsidR="006974ED">
              <w:rPr>
                <w:i/>
                <w:color w:val="000000" w:themeColor="text1"/>
                <w:sz w:val="28"/>
                <w:szCs w:val="28"/>
              </w:rPr>
              <w:t>4,9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  <w:r w:rsidR="001A7333">
        <w:rPr>
          <w:b/>
          <w:sz w:val="28"/>
          <w:szCs w:val="28"/>
        </w:rPr>
        <w:t>программы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987A50" w:rsidRPr="00373EE7" w:rsidRDefault="00E00BCF" w:rsidP="00373EE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  <w:r w:rsidR="00373EE7" w:rsidRPr="00597B7A">
        <w:rPr>
          <w:sz w:val="28"/>
        </w:rPr>
        <w:t xml:space="preserve"> </w:t>
      </w: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20"/>
        <w:gridCol w:w="35"/>
      </w:tblGrid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2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2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AB7F5B">
              <w:rPr>
                <w:rFonts w:ascii="Times New Roman" w:hAnsi="Times New Roman" w:cs="Times New Roman"/>
                <w:color w:val="000000" w:themeColor="text1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C066CD"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F25C8B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2 16</w:t>
            </w:r>
            <w:r w:rsidR="006974ED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974E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1 804</w:t>
            </w:r>
            <w:r w:rsidR="00C066CD"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F25C8B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E837E0"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9E4EF7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E4EF7">
              <w:rPr>
                <w:b/>
                <w:color w:val="000000" w:themeColor="text1"/>
              </w:rPr>
              <w:t> 482,7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F25C8B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617AAF">
              <w:rPr>
                <w:color w:val="000000" w:themeColor="text1"/>
              </w:rPr>
              <w:t> </w:t>
            </w:r>
            <w:r w:rsidR="00F25C8B">
              <w:rPr>
                <w:color w:val="000000" w:themeColor="text1"/>
              </w:rPr>
              <w:t>576</w:t>
            </w:r>
            <w:r w:rsidR="009E4EF7">
              <w:rPr>
                <w:color w:val="000000" w:themeColor="text1"/>
              </w:rPr>
              <w:t>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F25C8B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25C8B">
              <w:rPr>
                <w:color w:val="000000" w:themeColor="text1"/>
              </w:rPr>
              <w:t> 540,5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E4EF7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5B63DA" w:rsidP="005B63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="00F25C8B">
              <w:rPr>
                <w:color w:val="000000" w:themeColor="text1"/>
              </w:rPr>
              <w:t>6</w:t>
            </w:r>
            <w:r w:rsidR="009E4EF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F25C8B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834,8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F25C8B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9E4EF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1F5E90">
        <w:trPr>
          <w:gridAfter w:val="1"/>
          <w:wAfter w:w="35" w:type="dxa"/>
        </w:trPr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F25C8B" w:rsidP="00FB6658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5 648</w:t>
            </w:r>
            <w:r w:rsidR="009D5D89">
              <w:rPr>
                <w:b/>
                <w:i/>
                <w:color w:val="000000" w:themeColor="text1"/>
              </w:rPr>
              <w:t>,7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 w:rsidR="002A6B33">
        <w:rPr>
          <w:sz w:val="28"/>
          <w:szCs w:val="28"/>
        </w:rPr>
        <w:t>рации округа Муром __________</w:t>
      </w:r>
      <w:r>
        <w:rPr>
          <w:sz w:val="28"/>
          <w:szCs w:val="28"/>
        </w:rPr>
        <w:t xml:space="preserve">____________ </w:t>
      </w:r>
      <w:r w:rsidR="006974ED">
        <w:rPr>
          <w:sz w:val="28"/>
          <w:szCs w:val="28"/>
        </w:rPr>
        <w:t>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55" w:rsidRDefault="00FD7455" w:rsidP="00AD0FBF">
      <w:r>
        <w:separator/>
      </w:r>
    </w:p>
  </w:endnote>
  <w:endnote w:type="continuationSeparator" w:id="0">
    <w:p w:rsidR="00FD7455" w:rsidRDefault="00FD7455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A758F8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B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6B33" w:rsidRDefault="002A6B33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2A6B33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55" w:rsidRDefault="00FD7455" w:rsidP="00AD0FBF">
      <w:r>
        <w:separator/>
      </w:r>
    </w:p>
  </w:footnote>
  <w:footnote w:type="continuationSeparator" w:id="0">
    <w:p w:rsidR="00FD7455" w:rsidRDefault="00FD7455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05F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6D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B6510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68CC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14B4"/>
    <w:rsid w:val="00193078"/>
    <w:rsid w:val="00197781"/>
    <w:rsid w:val="001A382E"/>
    <w:rsid w:val="001A3BBD"/>
    <w:rsid w:val="001A7333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77"/>
    <w:rsid w:val="00294C80"/>
    <w:rsid w:val="002953DF"/>
    <w:rsid w:val="002975DE"/>
    <w:rsid w:val="002A24D7"/>
    <w:rsid w:val="002A2567"/>
    <w:rsid w:val="002A6329"/>
    <w:rsid w:val="002A653E"/>
    <w:rsid w:val="002A6B33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6EC6"/>
    <w:rsid w:val="002E72CE"/>
    <w:rsid w:val="002E7D8F"/>
    <w:rsid w:val="002F06BF"/>
    <w:rsid w:val="002F1E44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9D2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64E8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867"/>
    <w:rsid w:val="00393A87"/>
    <w:rsid w:val="00393B59"/>
    <w:rsid w:val="003942E2"/>
    <w:rsid w:val="00395277"/>
    <w:rsid w:val="00397C8E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EC"/>
    <w:rsid w:val="003E0BE6"/>
    <w:rsid w:val="003E2596"/>
    <w:rsid w:val="003E2717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67B4D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3AC0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E73A5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63DA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2CE8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17AAF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4ED"/>
    <w:rsid w:val="00697D72"/>
    <w:rsid w:val="006A0309"/>
    <w:rsid w:val="006A0ECD"/>
    <w:rsid w:val="006A10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245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B5F46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1AD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06E5D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449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2B8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4AB8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0AB9"/>
    <w:rsid w:val="009C3E63"/>
    <w:rsid w:val="009D0337"/>
    <w:rsid w:val="009D08B6"/>
    <w:rsid w:val="009D0C57"/>
    <w:rsid w:val="009D38FF"/>
    <w:rsid w:val="009D3E23"/>
    <w:rsid w:val="009D5D89"/>
    <w:rsid w:val="009D5FC5"/>
    <w:rsid w:val="009E180D"/>
    <w:rsid w:val="009E4EF7"/>
    <w:rsid w:val="009E6E33"/>
    <w:rsid w:val="009E771E"/>
    <w:rsid w:val="009E7E45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3584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2267"/>
    <w:rsid w:val="00A758F8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4D37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2E86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83CD3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1C89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35A1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2670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37A29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84448"/>
    <w:rsid w:val="00D9001C"/>
    <w:rsid w:val="00D90361"/>
    <w:rsid w:val="00D92B00"/>
    <w:rsid w:val="00D92FD6"/>
    <w:rsid w:val="00D942CD"/>
    <w:rsid w:val="00D94AD0"/>
    <w:rsid w:val="00D95E0B"/>
    <w:rsid w:val="00D97FFA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1A97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1F84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5C8B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57EFA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1746"/>
    <w:rsid w:val="00FB1D9B"/>
    <w:rsid w:val="00FB2F66"/>
    <w:rsid w:val="00FB6658"/>
    <w:rsid w:val="00FC4061"/>
    <w:rsid w:val="00FD7455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9745"/>
    <o:shapelayout v:ext="edit">
      <o:idmap v:ext="edit" data="1"/>
    </o:shapelayout>
  </w:shapeDefaults>
  <w:decimalSymbol w:val=","/>
  <w:listSeparator w:val=";"/>
  <w15:docId w15:val="{C4A0D5C8-1B33-40F2-B700-AFECB3A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uiPriority w:val="22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A0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226D-37C3-472E-AC12-A72205A9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2858</Words>
  <Characters>20378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3</cp:revision>
  <cp:lastPrinted>2019-11-26T13:31:00Z</cp:lastPrinted>
  <dcterms:created xsi:type="dcterms:W3CDTF">2019-11-26T13:31:00Z</dcterms:created>
  <dcterms:modified xsi:type="dcterms:W3CDTF">2019-12-05T06:58:00Z</dcterms:modified>
</cp:coreProperties>
</file>