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CD4FFA">
        <w:rPr>
          <w:rFonts w:ascii="Times New Roman" w:hAnsi="Times New Roman" w:cs="Times New Roman"/>
          <w:bCs/>
          <w:i/>
          <w:iCs/>
          <w:sz w:val="24"/>
          <w:szCs w:val="24"/>
        </w:rPr>
        <w:t>19.04.2019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CD4F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291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362B5">
              <w:rPr>
                <w:rFonts w:ascii="Times New Roman" w:hAnsi="Times New Roman"/>
                <w:sz w:val="32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«Муромстройзаказчик»;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ГО и ЧС»;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9.Снижение финансовой нагрузки на бюджет округа Муром за счет сокращения платежей за электрическую энергию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304F6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годы – 722 746, 30834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F1661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610 966,26874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304F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бюджет- 111 780,0396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263 552,70834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F1661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195 144,06874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68 408, 6396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CD4FF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B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t>9.Снижение финансовой нагрузки на бюджет округа Муром за счет сокращения платежей за электрическую энергию.</w:t>
      </w:r>
    </w:p>
    <w:p w:rsidR="00AA5A14" w:rsidRPr="000E47B4" w:rsidRDefault="00AA5A14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CD4FFA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CD4FF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CD4FF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CD4FF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CD4FF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CD4FFA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CD4FFA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CD4FFA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CD4FFA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CD4FFA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CD4FFA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CD4FFA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CD4FFA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CD4FFA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CD4FFA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CD4FFA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CD4FFA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CD4FFA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2F4AC3">
        <w:rPr>
          <w:rFonts w:ascii="Times New Roman" w:hAnsi="Times New Roman"/>
          <w:sz w:val="28"/>
          <w:szCs w:val="28"/>
          <w:lang w:val="ru-RU"/>
        </w:rPr>
        <w:t>722 746, 30834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CD4FFA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AC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722746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30834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AC3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263552,70834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AC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610966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AC3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195144,06874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111780,0396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F910DA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68408,6396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CD4FF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CD4FF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CD4FF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CD4FF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CD4FF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CD4FFA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  <w:tr w:rsidR="008F1084" w:rsidRPr="00CD4FFA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lastRenderedPageBreak/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CD4FFA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750"/>
      </w:tblGrid>
      <w:tr w:rsidR="00534F50" w:rsidTr="00534F50">
        <w:tc>
          <w:tcPr>
            <w:tcW w:w="7054" w:type="dxa"/>
          </w:tcPr>
          <w:p w:rsidR="00534F50" w:rsidRPr="00534F50" w:rsidRDefault="00534F50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>И.о.начальника Управления ЖКХ</w:t>
            </w:r>
          </w:p>
        </w:tc>
        <w:tc>
          <w:tcPr>
            <w:tcW w:w="2773" w:type="dxa"/>
          </w:tcPr>
          <w:p w:rsidR="00534F50" w:rsidRPr="00534F50" w:rsidRDefault="00534F50" w:rsidP="00534F50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Р.А.Покровский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C3AFA" w:rsidRDefault="00CC3AFA">
      <w:pPr>
        <w:rPr>
          <w:sz w:val="28"/>
          <w:szCs w:val="28"/>
          <w:lang w:val="ru-RU"/>
        </w:rPr>
      </w:pPr>
    </w:p>
    <w:p w:rsidR="00A21216" w:rsidRDefault="00A21216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CD4FF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CD4FF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CD4FF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CD4FF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B20DD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288 109,51823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B20DD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Муром- 284 415,91823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91 317,31823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98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джет округа Муром – 90 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086,11823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CD4FF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E0FFD">
        <w:rPr>
          <w:rFonts w:ascii="Times New Roman" w:hAnsi="Times New Roman"/>
          <w:sz w:val="28"/>
          <w:szCs w:val="28"/>
          <w:lang w:val="ru-RU"/>
        </w:rPr>
        <w:t>288 109, 51823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CD4FFA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EE0FFD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288 109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EE0FFD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91 317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EE0FFD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284 415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EE0FFD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90 086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CD4FFA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324185" w:rsidRDefault="00324185">
      <w:pPr>
        <w:rPr>
          <w:lang w:val="ru-RU"/>
        </w:rPr>
      </w:pPr>
    </w:p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lastRenderedPageBreak/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CD4FF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CD4FF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CD4FF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CD4FFA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CD4FFA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35 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21,58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Муром-4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77,7 тыс.руб.;</w:t>
            </w:r>
          </w:p>
          <w:p w:rsidR="003709FA" w:rsidRPr="00EB487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3709F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709FA" w:rsidRDefault="007F4106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69,78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25,9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CD4FF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C77F48"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35 3</w:t>
      </w:r>
      <w:r w:rsidR="003709FA">
        <w:rPr>
          <w:rFonts w:ascii="Times New Roman" w:hAnsi="Times New Roman"/>
          <w:sz w:val="28"/>
          <w:szCs w:val="28"/>
          <w:lang w:val="ru-RU"/>
        </w:rPr>
        <w:t>21,58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CD4FFA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09FA" w:rsidRPr="00EB487A" w:rsidTr="003709FA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  <w:r w:rsidR="00290AE7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</w:tr>
      <w:tr w:rsidR="00B679B8" w:rsidRPr="00CD4FFA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CD4FF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CD4FFA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CD4FF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CD4FFA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CD4FF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CD4FF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CD4FF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C77F48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267 641,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Муром- 238 038,55051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104 970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Муром- 75 367,35051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CD4FF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C77F48">
        <w:rPr>
          <w:rFonts w:ascii="Times New Roman" w:hAnsi="Times New Roman"/>
          <w:sz w:val="28"/>
          <w:szCs w:val="28"/>
          <w:lang w:val="ru-RU"/>
        </w:rPr>
        <w:t>вки светильников в количестве 4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267 641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CD4FFA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C77F48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267641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104970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38038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75 367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CD4FFA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CD4FF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CD4FF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CD4FFA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CD4FFA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CD4FFA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CD4FF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1 930,0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CD4FF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F14F27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F14F27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F1661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F1661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F14F2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F1661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F1661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F1661E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02778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г.- 1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F1661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F21223">
        <w:rPr>
          <w:rFonts w:ascii="Times New Roman" w:hAnsi="Times New Roman"/>
          <w:sz w:val="28"/>
          <w:szCs w:val="28"/>
          <w:lang w:val="ru-RU"/>
        </w:rPr>
        <w:t>ммы планируется направить  1 5</w:t>
      </w:r>
      <w:r w:rsidR="00AF5847">
        <w:rPr>
          <w:rFonts w:ascii="Times New Roman" w:hAnsi="Times New Roman"/>
          <w:sz w:val="28"/>
          <w:szCs w:val="28"/>
          <w:lang w:val="ru-RU"/>
        </w:rPr>
        <w:t>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F1661E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F1661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F1661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F1661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F1661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F1661E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 – 50 445,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29 354,1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F1661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пенсионеры, в количестве  103 500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рограммы планируется направить 50 445,0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F1661E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5F" w:rsidRDefault="008A7E5F" w:rsidP="007A0FE0">
      <w:pPr>
        <w:spacing w:after="0" w:line="240" w:lineRule="auto"/>
      </w:pPr>
      <w:r>
        <w:separator/>
      </w:r>
    </w:p>
  </w:endnote>
  <w:endnote w:type="continuationSeparator" w:id="0">
    <w:p w:rsidR="008A7E5F" w:rsidRDefault="008A7E5F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ED" w:rsidRDefault="005545ED">
    <w:pPr>
      <w:pStyle w:val="a7"/>
      <w:jc w:val="center"/>
    </w:pPr>
  </w:p>
  <w:p w:rsidR="005545ED" w:rsidRDefault="00554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5F" w:rsidRDefault="008A7E5F" w:rsidP="007A0FE0">
      <w:pPr>
        <w:spacing w:after="0" w:line="240" w:lineRule="auto"/>
      </w:pPr>
      <w:r>
        <w:separator/>
      </w:r>
    </w:p>
  </w:footnote>
  <w:footnote w:type="continuationSeparator" w:id="0">
    <w:p w:rsidR="008A7E5F" w:rsidRDefault="008A7E5F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5545ED" w:rsidRDefault="00F60C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5ED" w:rsidRDefault="005545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ED" w:rsidRPr="00587275" w:rsidRDefault="00F60CCF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D4FFA">
      <w:rPr>
        <w:noProof/>
      </w:rPr>
      <w:t>85</w:t>
    </w:r>
    <w:r>
      <w:rPr>
        <w:noProof/>
      </w:rPr>
      <w:fldChar w:fldCharType="end"/>
    </w:r>
  </w:p>
  <w:p w:rsidR="005545ED" w:rsidRDefault="005545ED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8"/>
  </w:num>
  <w:num w:numId="6">
    <w:abstractNumId w:val="5"/>
  </w:num>
  <w:num w:numId="7">
    <w:abstractNumId w:val="18"/>
  </w:num>
  <w:num w:numId="8">
    <w:abstractNumId w:val="29"/>
  </w:num>
  <w:num w:numId="9">
    <w:abstractNumId w:val="16"/>
  </w:num>
  <w:num w:numId="10">
    <w:abstractNumId w:val="6"/>
  </w:num>
  <w:num w:numId="11">
    <w:abstractNumId w:val="37"/>
  </w:num>
  <w:num w:numId="12">
    <w:abstractNumId w:val="27"/>
  </w:num>
  <w:num w:numId="13">
    <w:abstractNumId w:val="32"/>
  </w:num>
  <w:num w:numId="14">
    <w:abstractNumId w:val="0"/>
  </w:num>
  <w:num w:numId="15">
    <w:abstractNumId w:val="10"/>
  </w:num>
  <w:num w:numId="16">
    <w:abstractNumId w:val="34"/>
  </w:num>
  <w:num w:numId="17">
    <w:abstractNumId w:val="15"/>
  </w:num>
  <w:num w:numId="18">
    <w:abstractNumId w:val="23"/>
  </w:num>
  <w:num w:numId="19">
    <w:abstractNumId w:val="7"/>
  </w:num>
  <w:num w:numId="20">
    <w:abstractNumId w:val="30"/>
  </w:num>
  <w:num w:numId="21">
    <w:abstractNumId w:val="22"/>
  </w:num>
  <w:num w:numId="22">
    <w:abstractNumId w:val="9"/>
  </w:num>
  <w:num w:numId="23">
    <w:abstractNumId w:val="41"/>
  </w:num>
  <w:num w:numId="24">
    <w:abstractNumId w:val="3"/>
  </w:num>
  <w:num w:numId="25">
    <w:abstractNumId w:val="40"/>
  </w:num>
  <w:num w:numId="26">
    <w:abstractNumId w:val="19"/>
  </w:num>
  <w:num w:numId="27">
    <w:abstractNumId w:val="26"/>
  </w:num>
  <w:num w:numId="28">
    <w:abstractNumId w:val="38"/>
  </w:num>
  <w:num w:numId="29">
    <w:abstractNumId w:val="24"/>
  </w:num>
  <w:num w:numId="30">
    <w:abstractNumId w:val="12"/>
  </w:num>
  <w:num w:numId="31">
    <w:abstractNumId w:val="8"/>
  </w:num>
  <w:num w:numId="32">
    <w:abstractNumId w:val="11"/>
  </w:num>
  <w:num w:numId="33">
    <w:abstractNumId w:val="35"/>
  </w:num>
  <w:num w:numId="34">
    <w:abstractNumId w:val="33"/>
  </w:num>
  <w:num w:numId="35">
    <w:abstractNumId w:val="14"/>
  </w:num>
  <w:num w:numId="36">
    <w:abstractNumId w:val="39"/>
  </w:num>
  <w:num w:numId="37">
    <w:abstractNumId w:val="2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36"/>
  </w:num>
  <w:num w:numId="46">
    <w:abstractNumId w:val="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6AE8"/>
    <w:rsid w:val="001916EA"/>
    <w:rsid w:val="001925A9"/>
    <w:rsid w:val="001938C4"/>
    <w:rsid w:val="0019754A"/>
    <w:rsid w:val="001A07F3"/>
    <w:rsid w:val="001A1BE8"/>
    <w:rsid w:val="001A24BE"/>
    <w:rsid w:val="001A2A1E"/>
    <w:rsid w:val="001A443A"/>
    <w:rsid w:val="001A4E38"/>
    <w:rsid w:val="001A506F"/>
    <w:rsid w:val="001A51D9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6A03"/>
    <w:rsid w:val="002E77CF"/>
    <w:rsid w:val="002E7F25"/>
    <w:rsid w:val="002F49BB"/>
    <w:rsid w:val="002F4AC3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8EF"/>
    <w:rsid w:val="0034797D"/>
    <w:rsid w:val="003525FE"/>
    <w:rsid w:val="003553F5"/>
    <w:rsid w:val="00357776"/>
    <w:rsid w:val="00363B56"/>
    <w:rsid w:val="003709FA"/>
    <w:rsid w:val="00371E59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079F1"/>
    <w:rsid w:val="0041132D"/>
    <w:rsid w:val="004113D4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0"/>
    <w:rsid w:val="00534F5B"/>
    <w:rsid w:val="00536B42"/>
    <w:rsid w:val="00540CD4"/>
    <w:rsid w:val="005545ED"/>
    <w:rsid w:val="005608E1"/>
    <w:rsid w:val="00561629"/>
    <w:rsid w:val="00561F6A"/>
    <w:rsid w:val="00563660"/>
    <w:rsid w:val="00565F60"/>
    <w:rsid w:val="005661B8"/>
    <w:rsid w:val="005729E7"/>
    <w:rsid w:val="00572B84"/>
    <w:rsid w:val="005744DA"/>
    <w:rsid w:val="0057472A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51B20"/>
    <w:rsid w:val="006527A1"/>
    <w:rsid w:val="00653354"/>
    <w:rsid w:val="00664E58"/>
    <w:rsid w:val="00666BF6"/>
    <w:rsid w:val="00667DA1"/>
    <w:rsid w:val="00670AF7"/>
    <w:rsid w:val="006712F7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5E75"/>
    <w:rsid w:val="008462C3"/>
    <w:rsid w:val="008623BF"/>
    <w:rsid w:val="00865A88"/>
    <w:rsid w:val="008725F0"/>
    <w:rsid w:val="0087287E"/>
    <w:rsid w:val="00873E5F"/>
    <w:rsid w:val="00874431"/>
    <w:rsid w:val="0087487F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A7E5F"/>
    <w:rsid w:val="008B48A0"/>
    <w:rsid w:val="008C04B7"/>
    <w:rsid w:val="008C3BEC"/>
    <w:rsid w:val="008C3F16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790B"/>
    <w:rsid w:val="00A11A0A"/>
    <w:rsid w:val="00A1330B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A5A14"/>
    <w:rsid w:val="00AB21AF"/>
    <w:rsid w:val="00AC0891"/>
    <w:rsid w:val="00AC1D11"/>
    <w:rsid w:val="00AC2F85"/>
    <w:rsid w:val="00AC41B4"/>
    <w:rsid w:val="00AC43DF"/>
    <w:rsid w:val="00AD48ED"/>
    <w:rsid w:val="00AD5FC1"/>
    <w:rsid w:val="00AD7561"/>
    <w:rsid w:val="00AE398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2BAB"/>
    <w:rsid w:val="00B27D39"/>
    <w:rsid w:val="00B30EDF"/>
    <w:rsid w:val="00B31971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3CC4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4FFA"/>
    <w:rsid w:val="00CD5FE9"/>
    <w:rsid w:val="00CE28EC"/>
    <w:rsid w:val="00CE79E3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6055"/>
    <w:rsid w:val="00E7705B"/>
    <w:rsid w:val="00E7721D"/>
    <w:rsid w:val="00E800F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F010E"/>
    <w:rsid w:val="00EF2743"/>
    <w:rsid w:val="00EF35FB"/>
    <w:rsid w:val="00F02524"/>
    <w:rsid w:val="00F055A4"/>
    <w:rsid w:val="00F05703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4D90"/>
    <w:rsid w:val="00F46D9B"/>
    <w:rsid w:val="00F51163"/>
    <w:rsid w:val="00F524E3"/>
    <w:rsid w:val="00F544C8"/>
    <w:rsid w:val="00F55845"/>
    <w:rsid w:val="00F60CCF"/>
    <w:rsid w:val="00F613DF"/>
    <w:rsid w:val="00F619F6"/>
    <w:rsid w:val="00F65275"/>
    <w:rsid w:val="00F66515"/>
    <w:rsid w:val="00F7131C"/>
    <w:rsid w:val="00F74021"/>
    <w:rsid w:val="00F77324"/>
    <w:rsid w:val="00F77D68"/>
    <w:rsid w:val="00F82B44"/>
    <w:rsid w:val="00F844D5"/>
    <w:rsid w:val="00F85DCE"/>
    <w:rsid w:val="00F910DA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CF8ACE-9723-4F4F-8E5A-F5AB618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2D55-F9E5-4B53-8D6E-464B6B82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19354</Words>
  <Characters>110323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2019-05-16T05:56:00Z</cp:lastPrinted>
  <dcterms:created xsi:type="dcterms:W3CDTF">2019-05-16T05:56:00Z</dcterms:created>
  <dcterms:modified xsi:type="dcterms:W3CDTF">2019-05-16T05:56:00Z</dcterms:modified>
</cp:coreProperties>
</file>