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proofErr w:type="gramStart"/>
      <w:r w:rsidRPr="00643C08">
        <w:rPr>
          <w:noProof w:val="0"/>
          <w:sz w:val="24"/>
          <w:szCs w:val="24"/>
        </w:rPr>
        <w:t xml:space="preserve">Приложение  </w:t>
      </w:r>
      <w:r w:rsidR="00F16C7C">
        <w:rPr>
          <w:noProof w:val="0"/>
          <w:sz w:val="24"/>
          <w:szCs w:val="24"/>
        </w:rPr>
        <w:t>1</w:t>
      </w:r>
      <w:proofErr w:type="gramEnd"/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</w:t>
      </w:r>
      <w:r w:rsidR="0081591D">
        <w:rPr>
          <w:noProof w:val="0"/>
          <w:sz w:val="24"/>
          <w:szCs w:val="24"/>
        </w:rPr>
        <w:t>27.11.2018</w:t>
      </w:r>
      <w:r w:rsidRPr="00643C08">
        <w:rPr>
          <w:noProof w:val="0"/>
          <w:sz w:val="24"/>
          <w:szCs w:val="24"/>
        </w:rPr>
        <w:t xml:space="preserve"> №</w:t>
      </w:r>
      <w:r>
        <w:rPr>
          <w:noProof w:val="0"/>
          <w:sz w:val="24"/>
          <w:szCs w:val="24"/>
        </w:rPr>
        <w:t xml:space="preserve"> </w:t>
      </w:r>
      <w:r w:rsidR="0081591D">
        <w:rPr>
          <w:noProof w:val="0"/>
          <w:sz w:val="24"/>
          <w:szCs w:val="24"/>
        </w:rPr>
        <w:t>851</w:t>
      </w:r>
      <w:bookmarkStart w:id="0" w:name="_GoBack"/>
      <w:bookmarkEnd w:id="0"/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0B3FC7" w:rsidRPr="000B3FC7">
        <w:rPr>
          <w:b/>
          <w:noProof w:val="0"/>
          <w:sz w:val="28"/>
          <w:szCs w:val="28"/>
        </w:rPr>
        <w:t>201</w:t>
      </w:r>
      <w:r w:rsidR="00A6160C" w:rsidRPr="00BB3C40">
        <w:rPr>
          <w:b/>
          <w:noProof w:val="0"/>
          <w:sz w:val="28"/>
          <w:szCs w:val="28"/>
        </w:rPr>
        <w:t>8</w:t>
      </w:r>
      <w:r w:rsidR="000B3FC7" w:rsidRPr="000B3FC7">
        <w:rPr>
          <w:b/>
          <w:noProof w:val="0"/>
          <w:sz w:val="28"/>
          <w:szCs w:val="28"/>
        </w:rPr>
        <w:t>-20</w:t>
      </w:r>
      <w:r w:rsidR="00A6160C" w:rsidRPr="00BB3C40">
        <w:rPr>
          <w:b/>
          <w:noProof w:val="0"/>
          <w:sz w:val="28"/>
          <w:szCs w:val="28"/>
        </w:rPr>
        <w:t>20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0B3FC7" w:rsidRPr="000B3FC7">
              <w:rPr>
                <w:noProof w:val="0"/>
                <w:sz w:val="28"/>
                <w:szCs w:val="28"/>
              </w:rPr>
              <w:t>201</w:t>
            </w:r>
            <w:r w:rsidR="00A6160C" w:rsidRPr="00A6160C">
              <w:rPr>
                <w:noProof w:val="0"/>
                <w:sz w:val="28"/>
                <w:szCs w:val="28"/>
              </w:rPr>
              <w:t>8</w:t>
            </w:r>
            <w:r w:rsidR="000B3FC7" w:rsidRPr="000B3FC7">
              <w:rPr>
                <w:noProof w:val="0"/>
                <w:sz w:val="28"/>
                <w:szCs w:val="28"/>
              </w:rPr>
              <w:t>-20</w:t>
            </w:r>
            <w:r w:rsidR="00A6160C" w:rsidRPr="00A6160C">
              <w:rPr>
                <w:noProof w:val="0"/>
                <w:sz w:val="28"/>
                <w:szCs w:val="28"/>
              </w:rPr>
              <w:t>20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Pr="0014404C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974AC5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2A509C" w:rsidRDefault="00B97AD1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CF706B">
              <w:rPr>
                <w:sz w:val="28"/>
                <w:szCs w:val="28"/>
              </w:rPr>
              <w:t>300 338,7</w:t>
            </w:r>
            <w:r w:rsidR="00975CE5">
              <w:rPr>
                <w:sz w:val="28"/>
                <w:szCs w:val="28"/>
              </w:rPr>
              <w:t xml:space="preserve"> </w:t>
            </w:r>
            <w:r w:rsidR="00C2663A" w:rsidRPr="002A509C">
              <w:rPr>
                <w:sz w:val="28"/>
                <w:szCs w:val="28"/>
              </w:rPr>
              <w:t xml:space="preserve">тыс. руб., в том числе:    </w:t>
            </w:r>
          </w:p>
          <w:p w:rsidR="004F6239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</w:t>
            </w:r>
            <w:r w:rsidR="00AF329C">
              <w:rPr>
                <w:sz w:val="28"/>
                <w:szCs w:val="28"/>
              </w:rPr>
              <w:t>16 222,8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                             </w:t>
            </w:r>
            <w:r w:rsidRPr="002A509C">
              <w:rPr>
                <w:sz w:val="28"/>
                <w:szCs w:val="28"/>
              </w:rPr>
              <w:br/>
              <w:t>из областного бюджета</w:t>
            </w:r>
            <w:r w:rsidR="00B06563" w:rsidRPr="002A509C">
              <w:rPr>
                <w:sz w:val="28"/>
                <w:szCs w:val="28"/>
              </w:rPr>
              <w:t xml:space="preserve">    </w:t>
            </w:r>
            <w:r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 xml:space="preserve">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  </w:t>
            </w:r>
            <w:r w:rsidR="00975CE5">
              <w:rPr>
                <w:sz w:val="28"/>
                <w:szCs w:val="28"/>
              </w:rPr>
              <w:t>7 400,4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</w:t>
            </w:r>
            <w:r w:rsidRPr="002A509C">
              <w:rPr>
                <w:sz w:val="28"/>
                <w:szCs w:val="28"/>
              </w:rPr>
              <w:br/>
              <w:t xml:space="preserve">из бюджета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>округа</w:t>
            </w:r>
            <w:r w:rsidR="00B06563" w:rsidRPr="002A509C">
              <w:rPr>
                <w:sz w:val="28"/>
                <w:szCs w:val="28"/>
              </w:rPr>
              <w:t xml:space="preserve">     </w:t>
            </w:r>
            <w:r w:rsidR="003F6CD8" w:rsidRPr="002A509C">
              <w:rPr>
                <w:sz w:val="28"/>
                <w:szCs w:val="28"/>
              </w:rPr>
              <w:t xml:space="preserve">       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="00CF706B">
              <w:rPr>
                <w:sz w:val="28"/>
                <w:szCs w:val="28"/>
              </w:rPr>
              <w:t>276 715,5</w:t>
            </w:r>
            <w:r w:rsidR="008F5872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 </w:t>
            </w:r>
          </w:p>
          <w:p w:rsidR="000E5ABB" w:rsidRPr="002A509C" w:rsidRDefault="000E5ABB" w:rsidP="005C0AFC">
            <w:pPr>
              <w:rPr>
                <w:sz w:val="28"/>
                <w:szCs w:val="28"/>
              </w:rPr>
            </w:pPr>
          </w:p>
          <w:p w:rsidR="004F6239" w:rsidRPr="002A509C" w:rsidRDefault="004F6239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A30639" w:rsidRPr="002A509C" w:rsidRDefault="00974AC5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5B4CCC">
              <w:rPr>
                <w:sz w:val="28"/>
                <w:szCs w:val="28"/>
              </w:rPr>
              <w:t>8</w:t>
            </w:r>
            <w:r w:rsidR="004F6239" w:rsidRPr="002A509C">
              <w:rPr>
                <w:sz w:val="28"/>
                <w:szCs w:val="28"/>
              </w:rPr>
              <w:t xml:space="preserve"> год</w:t>
            </w:r>
            <w:r w:rsidR="00A30639" w:rsidRPr="002A509C">
              <w:rPr>
                <w:sz w:val="28"/>
                <w:szCs w:val="28"/>
              </w:rPr>
              <w:t xml:space="preserve"> - всего                              </w:t>
            </w:r>
            <w:r w:rsidR="00A65042" w:rsidRPr="002A509C">
              <w:rPr>
                <w:sz w:val="28"/>
                <w:szCs w:val="28"/>
              </w:rPr>
              <w:t xml:space="preserve">        </w:t>
            </w:r>
            <w:r w:rsidR="00CF706B">
              <w:rPr>
                <w:sz w:val="28"/>
                <w:szCs w:val="28"/>
              </w:rPr>
              <w:t>110 041,5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A30639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4F62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- </w:t>
            </w:r>
            <w:r w:rsidR="004F6239" w:rsidRPr="002A509C">
              <w:rPr>
                <w:sz w:val="28"/>
                <w:szCs w:val="28"/>
              </w:rPr>
              <w:t>федеральный бюджет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   </w:t>
            </w:r>
            <w:r w:rsidR="00AF329C">
              <w:rPr>
                <w:sz w:val="28"/>
                <w:szCs w:val="28"/>
              </w:rPr>
              <w:t>6 742,2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C2663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E42ADA" w:rsidRPr="002A509C">
              <w:rPr>
                <w:sz w:val="28"/>
                <w:szCs w:val="28"/>
              </w:rPr>
              <w:t xml:space="preserve"> - областной бюджет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</w:t>
            </w:r>
            <w:r w:rsidR="00975CE5">
              <w:rPr>
                <w:sz w:val="28"/>
                <w:szCs w:val="28"/>
              </w:rPr>
              <w:t>2 512,2</w:t>
            </w:r>
            <w:r w:rsidR="008F5872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C2663A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</w:t>
            </w:r>
            <w:r w:rsidR="00E42ADA" w:rsidRPr="002A509C">
              <w:rPr>
                <w:sz w:val="28"/>
                <w:szCs w:val="28"/>
              </w:rPr>
              <w:t xml:space="preserve">             - бюджет  </w:t>
            </w:r>
            <w:r w:rsidR="003239AC" w:rsidRPr="002A509C">
              <w:rPr>
                <w:sz w:val="28"/>
                <w:szCs w:val="28"/>
              </w:rPr>
              <w:t>округа</w:t>
            </w:r>
            <w:r w:rsidR="00E42ADA" w:rsidRPr="002A509C">
              <w:rPr>
                <w:sz w:val="28"/>
                <w:szCs w:val="28"/>
              </w:rPr>
              <w:t xml:space="preserve">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 </w:t>
            </w:r>
            <w:r w:rsidR="003239AC" w:rsidRPr="002A509C">
              <w:rPr>
                <w:sz w:val="28"/>
                <w:szCs w:val="28"/>
              </w:rPr>
              <w:t xml:space="preserve">     </w:t>
            </w:r>
            <w:r w:rsidR="004C2232" w:rsidRPr="002A509C">
              <w:rPr>
                <w:sz w:val="28"/>
                <w:szCs w:val="28"/>
              </w:rPr>
              <w:t xml:space="preserve">      </w:t>
            </w:r>
            <w:r w:rsidR="00CF706B">
              <w:rPr>
                <w:sz w:val="28"/>
                <w:szCs w:val="28"/>
              </w:rPr>
              <w:t>100 787,1</w:t>
            </w:r>
            <w:r w:rsidR="008F5872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5C0AFC">
            <w:pPr>
              <w:rPr>
                <w:sz w:val="28"/>
                <w:szCs w:val="28"/>
              </w:rPr>
            </w:pPr>
          </w:p>
          <w:p w:rsidR="00B06563" w:rsidRPr="002A509C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2A509C">
              <w:rPr>
                <w:sz w:val="28"/>
                <w:szCs w:val="28"/>
              </w:rPr>
              <w:t>9</w:t>
            </w:r>
            <w:r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всего                                      </w:t>
            </w:r>
            <w:r w:rsidR="008F5872">
              <w:rPr>
                <w:sz w:val="28"/>
                <w:szCs w:val="28"/>
              </w:rPr>
              <w:t>96 </w:t>
            </w:r>
            <w:r w:rsidR="00F16C7C">
              <w:rPr>
                <w:sz w:val="28"/>
                <w:szCs w:val="28"/>
              </w:rPr>
              <w:t>0</w:t>
            </w:r>
            <w:r w:rsidR="008F5872">
              <w:rPr>
                <w:sz w:val="28"/>
                <w:szCs w:val="28"/>
              </w:rPr>
              <w:t>41,1</w:t>
            </w:r>
            <w:r w:rsidR="00B06563"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</w:t>
            </w:r>
            <w:r w:rsidR="004C2232" w:rsidRPr="002A509C">
              <w:rPr>
                <w:sz w:val="28"/>
                <w:szCs w:val="28"/>
              </w:rPr>
              <w:t xml:space="preserve">- федеральный бюджет          </w:t>
            </w:r>
            <w:r w:rsidR="008F5872">
              <w:rPr>
                <w:sz w:val="28"/>
                <w:szCs w:val="28"/>
              </w:rPr>
              <w:t>5 632,8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</w:t>
            </w:r>
            <w:r w:rsidR="004C2232" w:rsidRPr="002A509C">
              <w:rPr>
                <w:sz w:val="28"/>
                <w:szCs w:val="28"/>
              </w:rPr>
              <w:t xml:space="preserve">ной бюджет               </w:t>
            </w:r>
            <w:r w:rsidR="008F5872">
              <w:rPr>
                <w:sz w:val="28"/>
                <w:szCs w:val="28"/>
              </w:rPr>
              <w:t>2 444,1</w:t>
            </w:r>
            <w:r w:rsidR="00E04CD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42ADA" w:rsidRPr="002A509C" w:rsidRDefault="00B06563" w:rsidP="00B06563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lastRenderedPageBreak/>
              <w:t xml:space="preserve">                - </w:t>
            </w:r>
            <w:r w:rsidR="003239AC" w:rsidRPr="002A509C">
              <w:rPr>
                <w:sz w:val="28"/>
                <w:szCs w:val="28"/>
              </w:rPr>
              <w:t xml:space="preserve">бюджет  округа                    </w:t>
            </w:r>
            <w:r w:rsidR="008F5872">
              <w:rPr>
                <w:sz w:val="28"/>
                <w:szCs w:val="28"/>
              </w:rPr>
              <w:t>8</w:t>
            </w:r>
            <w:r w:rsidR="00F16C7C">
              <w:rPr>
                <w:sz w:val="28"/>
                <w:szCs w:val="28"/>
              </w:rPr>
              <w:t>7 9</w:t>
            </w:r>
            <w:r w:rsidR="008F5872">
              <w:rPr>
                <w:sz w:val="28"/>
                <w:szCs w:val="28"/>
              </w:rPr>
              <w:t xml:space="preserve">64,2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B06563">
            <w:pPr>
              <w:rPr>
                <w:sz w:val="28"/>
                <w:szCs w:val="28"/>
              </w:rPr>
            </w:pPr>
          </w:p>
          <w:p w:rsidR="007A0AE5" w:rsidRPr="002A509C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2A509C" w:rsidRPr="002A509C">
              <w:rPr>
                <w:sz w:val="28"/>
                <w:szCs w:val="28"/>
              </w:rPr>
              <w:t>20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</w:t>
            </w:r>
            <w:r w:rsidR="007A0AE5" w:rsidRPr="002A509C">
              <w:rPr>
                <w:sz w:val="28"/>
                <w:szCs w:val="28"/>
              </w:rPr>
              <w:t xml:space="preserve">всего                                      </w:t>
            </w:r>
            <w:r w:rsidR="008F5872">
              <w:rPr>
                <w:sz w:val="28"/>
                <w:szCs w:val="28"/>
              </w:rPr>
              <w:t>94 </w:t>
            </w:r>
            <w:r w:rsidR="00F16C7C">
              <w:rPr>
                <w:sz w:val="28"/>
                <w:szCs w:val="28"/>
              </w:rPr>
              <w:t>2</w:t>
            </w:r>
            <w:r w:rsidR="008F5872">
              <w:rPr>
                <w:sz w:val="28"/>
                <w:szCs w:val="28"/>
              </w:rPr>
              <w:t>56,1</w:t>
            </w:r>
            <w:r w:rsidR="007A0AE5"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федеральный бюджет          </w:t>
            </w:r>
            <w:r w:rsidR="002A509C" w:rsidRPr="002A509C">
              <w:rPr>
                <w:sz w:val="28"/>
                <w:szCs w:val="28"/>
              </w:rPr>
              <w:t>3</w:t>
            </w:r>
            <w:r w:rsidR="008F5872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84</w:t>
            </w:r>
            <w:r w:rsidR="008F5872">
              <w:rPr>
                <w:sz w:val="28"/>
                <w:szCs w:val="28"/>
              </w:rPr>
              <w:t>7,8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областной бюджет               </w:t>
            </w:r>
            <w:r w:rsidR="008F5872">
              <w:rPr>
                <w:sz w:val="28"/>
                <w:szCs w:val="28"/>
              </w:rPr>
              <w:t xml:space="preserve">2 444,1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7A0AE5" w:rsidRPr="002A509C" w:rsidRDefault="007A0AE5" w:rsidP="007A0AE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бюджет  округа                    </w:t>
            </w:r>
            <w:r w:rsidR="001573F7">
              <w:rPr>
                <w:sz w:val="28"/>
                <w:szCs w:val="28"/>
              </w:rPr>
              <w:t>8</w:t>
            </w:r>
            <w:r w:rsidR="00F16C7C">
              <w:rPr>
                <w:sz w:val="28"/>
                <w:szCs w:val="28"/>
              </w:rPr>
              <w:t>7 9</w:t>
            </w:r>
            <w:r w:rsidR="008F5872">
              <w:rPr>
                <w:sz w:val="28"/>
                <w:szCs w:val="28"/>
              </w:rPr>
              <w:t xml:space="preserve">64,2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8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857C34">
        <w:trPr>
          <w:trHeight w:val="1753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A2564" w:rsidRPr="0042250E" w:rsidRDefault="004C46F8" w:rsidP="00857C34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E04CD3" w:rsidRDefault="00E60E65" w:rsidP="009B480A">
            <w:pPr>
              <w:autoSpaceDE w:val="0"/>
              <w:jc w:val="center"/>
            </w:pPr>
            <w:r w:rsidRPr="00E04CD3">
              <w:t>13 861</w:t>
            </w:r>
          </w:p>
        </w:tc>
        <w:tc>
          <w:tcPr>
            <w:tcW w:w="993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510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</w:tr>
      <w:tr w:rsidR="00CE046E" w:rsidRPr="00B84C8A" w:rsidTr="00857C34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CE046E" w:rsidRPr="00F16C7C" w:rsidRDefault="00F16C7C" w:rsidP="009B480A">
            <w:pPr>
              <w:autoSpaceDE w:val="0"/>
              <w:jc w:val="center"/>
            </w:pPr>
            <w:r w:rsidRPr="00F16C7C">
              <w:t>6</w:t>
            </w:r>
          </w:p>
        </w:tc>
        <w:tc>
          <w:tcPr>
            <w:tcW w:w="993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42250E" w:rsidRDefault="00F5382B" w:rsidP="009B480A">
            <w:pPr>
              <w:autoSpaceDE w:val="0"/>
              <w:jc w:val="center"/>
            </w:pPr>
            <w:r>
              <w:t>48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6160C">
        <w:rPr>
          <w:sz w:val="28"/>
          <w:szCs w:val="28"/>
        </w:rPr>
        <w:t>2018-2020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CF706B">
        <w:rPr>
          <w:sz w:val="28"/>
          <w:szCs w:val="28"/>
        </w:rPr>
        <w:t>300 338,7</w:t>
      </w:r>
      <w:r w:rsidR="00586507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8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9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F5382B" w:rsidRDefault="00CF706B" w:rsidP="00EE15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300 338,7</w:t>
            </w:r>
          </w:p>
        </w:tc>
        <w:tc>
          <w:tcPr>
            <w:tcW w:w="1421" w:type="dxa"/>
            <w:vAlign w:val="center"/>
          </w:tcPr>
          <w:p w:rsidR="003F6E3C" w:rsidRPr="00850928" w:rsidRDefault="00CF706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110 041,5</w:t>
            </w:r>
            <w:r w:rsidR="00EE1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F5382B" w:rsidRDefault="000717FD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96 041,1</w:t>
            </w:r>
          </w:p>
        </w:tc>
        <w:tc>
          <w:tcPr>
            <w:tcW w:w="1421" w:type="dxa"/>
            <w:vAlign w:val="center"/>
          </w:tcPr>
          <w:p w:rsidR="003F6E3C" w:rsidRPr="00F5382B" w:rsidRDefault="000717FD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94 256,1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F5382B" w:rsidRDefault="00CF706B" w:rsidP="000717F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276 715,5</w:t>
            </w:r>
          </w:p>
        </w:tc>
        <w:tc>
          <w:tcPr>
            <w:tcW w:w="1421" w:type="dxa"/>
            <w:vAlign w:val="center"/>
          </w:tcPr>
          <w:p w:rsidR="000717FD" w:rsidRPr="000717FD" w:rsidRDefault="00CF706B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100 787,1</w:t>
            </w:r>
          </w:p>
        </w:tc>
        <w:tc>
          <w:tcPr>
            <w:tcW w:w="1421" w:type="dxa"/>
            <w:vAlign w:val="center"/>
          </w:tcPr>
          <w:p w:rsidR="000717FD" w:rsidRPr="000717FD" w:rsidRDefault="000717FD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0717FD">
              <w:rPr>
                <w:color w:val="000000"/>
                <w:sz w:val="24"/>
                <w:szCs w:val="24"/>
              </w:rPr>
              <w:t>87 964,2</w:t>
            </w:r>
          </w:p>
        </w:tc>
        <w:tc>
          <w:tcPr>
            <w:tcW w:w="1421" w:type="dxa"/>
            <w:vAlign w:val="center"/>
          </w:tcPr>
          <w:p w:rsidR="000717FD" w:rsidRPr="000717FD" w:rsidRDefault="000717FD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0717FD">
              <w:rPr>
                <w:color w:val="000000"/>
                <w:sz w:val="24"/>
                <w:szCs w:val="24"/>
              </w:rPr>
              <w:t>87 964,2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975CE5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7 400,4</w:t>
            </w:r>
          </w:p>
        </w:tc>
        <w:tc>
          <w:tcPr>
            <w:tcW w:w="1421" w:type="dxa"/>
            <w:vAlign w:val="center"/>
          </w:tcPr>
          <w:p w:rsidR="008A7E67" w:rsidRPr="00F5382B" w:rsidRDefault="00975CE5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2 512,2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AF329C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16 222,8</w:t>
            </w:r>
          </w:p>
        </w:tc>
        <w:tc>
          <w:tcPr>
            <w:tcW w:w="1421" w:type="dxa"/>
            <w:vAlign w:val="center"/>
          </w:tcPr>
          <w:p w:rsidR="008A7E67" w:rsidRPr="00F5382B" w:rsidRDefault="00AF329C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6 742,2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5 632,8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3 847,8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850928" w:rsidRDefault="00586507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115 396,4</w:t>
            </w:r>
          </w:p>
        </w:tc>
        <w:tc>
          <w:tcPr>
            <w:tcW w:w="1421" w:type="dxa"/>
            <w:vAlign w:val="center"/>
          </w:tcPr>
          <w:p w:rsidR="00B84C8A" w:rsidRPr="00850928" w:rsidRDefault="00586507" w:rsidP="00C604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42 752,4</w:t>
            </w:r>
          </w:p>
        </w:tc>
        <w:tc>
          <w:tcPr>
            <w:tcW w:w="1421" w:type="dxa"/>
            <w:vAlign w:val="center"/>
          </w:tcPr>
          <w:p w:rsidR="007B23C4" w:rsidRPr="00850928" w:rsidRDefault="00F5382B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37 214,5</w:t>
            </w:r>
          </w:p>
        </w:tc>
        <w:tc>
          <w:tcPr>
            <w:tcW w:w="1421" w:type="dxa"/>
            <w:vAlign w:val="center"/>
          </w:tcPr>
          <w:p w:rsidR="00C318F7" w:rsidRPr="00850928" w:rsidRDefault="00F5382B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35 429,5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850928" w:rsidRDefault="00586507" w:rsidP="00C604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91 773,2</w:t>
            </w:r>
          </w:p>
        </w:tc>
        <w:tc>
          <w:tcPr>
            <w:tcW w:w="1421" w:type="dxa"/>
            <w:vAlign w:val="center"/>
          </w:tcPr>
          <w:p w:rsidR="007A526D" w:rsidRPr="00850928" w:rsidRDefault="00586507" w:rsidP="00C604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33 498,0</w:t>
            </w:r>
          </w:p>
        </w:tc>
        <w:tc>
          <w:tcPr>
            <w:tcW w:w="1421" w:type="dxa"/>
            <w:vAlign w:val="center"/>
          </w:tcPr>
          <w:p w:rsidR="007A526D" w:rsidRPr="00850928" w:rsidRDefault="000717FD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29 137,6</w:t>
            </w:r>
          </w:p>
        </w:tc>
        <w:tc>
          <w:tcPr>
            <w:tcW w:w="1421" w:type="dxa"/>
            <w:vAlign w:val="center"/>
          </w:tcPr>
          <w:p w:rsidR="007A526D" w:rsidRPr="00850928" w:rsidRDefault="000717FD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29 137,6</w:t>
            </w:r>
          </w:p>
        </w:tc>
      </w:tr>
      <w:tr w:rsidR="00F5382B" w:rsidRPr="00850928" w:rsidTr="000E5ABB">
        <w:trPr>
          <w:trHeight w:val="418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F5382B" w:rsidRPr="00F5382B" w:rsidRDefault="00975CE5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7 400,4</w:t>
            </w:r>
          </w:p>
        </w:tc>
        <w:tc>
          <w:tcPr>
            <w:tcW w:w="1421" w:type="dxa"/>
            <w:vAlign w:val="center"/>
          </w:tcPr>
          <w:p w:rsidR="00F5382B" w:rsidRPr="00F5382B" w:rsidRDefault="00975CE5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2 512,2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</w:tr>
      <w:tr w:rsidR="00F5382B" w:rsidRPr="00850928" w:rsidTr="0007513F">
        <w:trPr>
          <w:trHeight w:val="415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F5382B" w:rsidRPr="00F5382B" w:rsidRDefault="00AF329C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16 222,8</w:t>
            </w:r>
          </w:p>
        </w:tc>
        <w:tc>
          <w:tcPr>
            <w:tcW w:w="1421" w:type="dxa"/>
            <w:vAlign w:val="center"/>
          </w:tcPr>
          <w:p w:rsidR="00F5382B" w:rsidRPr="00F5382B" w:rsidRDefault="00AF329C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6 742,2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5 632,8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3 847,8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802CEA" w:rsidRDefault="00CF706B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164 310,6</w:t>
            </w:r>
          </w:p>
        </w:tc>
        <w:tc>
          <w:tcPr>
            <w:tcW w:w="1421" w:type="dxa"/>
            <w:vAlign w:val="center"/>
          </w:tcPr>
          <w:p w:rsidR="007A526D" w:rsidRPr="00F5382B" w:rsidRDefault="00CF706B" w:rsidP="00C604F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57 184,5</w:t>
            </w:r>
          </w:p>
        </w:tc>
        <w:tc>
          <w:tcPr>
            <w:tcW w:w="1421" w:type="dxa"/>
            <w:vAlign w:val="center"/>
          </w:tcPr>
          <w:p w:rsidR="007A526D" w:rsidRPr="00802CEA" w:rsidRDefault="00802CEA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538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563</w:t>
            </w:r>
            <w:r w:rsidR="00F5382B">
              <w:rPr>
                <w:sz w:val="24"/>
                <w:szCs w:val="24"/>
              </w:rPr>
              <w:t>,1</w:t>
            </w:r>
          </w:p>
        </w:tc>
        <w:tc>
          <w:tcPr>
            <w:tcW w:w="1421" w:type="dxa"/>
            <w:vAlign w:val="center"/>
          </w:tcPr>
          <w:p w:rsidR="007A526D" w:rsidRPr="00850928" w:rsidRDefault="00802CEA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538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563</w:t>
            </w:r>
            <w:r w:rsidR="00F5382B">
              <w:rPr>
                <w:sz w:val="24"/>
                <w:szCs w:val="24"/>
              </w:rPr>
              <w:t>,1</w:t>
            </w:r>
          </w:p>
        </w:tc>
      </w:tr>
      <w:tr w:rsidR="00F5382B" w:rsidRPr="00850928" w:rsidTr="0007513F">
        <w:trPr>
          <w:trHeight w:val="424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5382B" w:rsidRPr="00802CEA" w:rsidRDefault="00CF706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164 310,6</w:t>
            </w:r>
          </w:p>
        </w:tc>
        <w:tc>
          <w:tcPr>
            <w:tcW w:w="1421" w:type="dxa"/>
            <w:vAlign w:val="center"/>
          </w:tcPr>
          <w:p w:rsidR="00F5382B" w:rsidRPr="00F5382B" w:rsidRDefault="00CF706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57 184,5</w:t>
            </w:r>
          </w:p>
        </w:tc>
        <w:tc>
          <w:tcPr>
            <w:tcW w:w="1421" w:type="dxa"/>
            <w:vAlign w:val="center"/>
          </w:tcPr>
          <w:p w:rsidR="00F5382B" w:rsidRPr="00802CEA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53 563,1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53 563,1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586507" w:rsidP="0059504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20 631,8</w:t>
            </w:r>
          </w:p>
        </w:tc>
        <w:tc>
          <w:tcPr>
            <w:tcW w:w="1421" w:type="dxa"/>
            <w:vAlign w:val="center"/>
          </w:tcPr>
          <w:p w:rsidR="007F5C30" w:rsidRPr="00850928" w:rsidRDefault="00586507" w:rsidP="00802CE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10 104,6</w:t>
            </w:r>
          </w:p>
        </w:tc>
        <w:tc>
          <w:tcPr>
            <w:tcW w:w="1421" w:type="dxa"/>
            <w:vAlign w:val="center"/>
          </w:tcPr>
          <w:p w:rsidR="007F5C30" w:rsidRPr="00850928" w:rsidRDefault="008A7E67" w:rsidP="00F5382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 w:rsidR="00F5382B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 w:rsidR="00595043"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 w:rsidR="00F5382B"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7F5C30" w:rsidRPr="00850928" w:rsidRDefault="00F5382B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</w:tr>
      <w:tr w:rsidR="00F5382B" w:rsidRPr="007B23C4" w:rsidTr="003D5E20">
        <w:trPr>
          <w:trHeight w:val="577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5382B" w:rsidRPr="00595043" w:rsidRDefault="00586507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20 631,8</w:t>
            </w:r>
          </w:p>
        </w:tc>
        <w:tc>
          <w:tcPr>
            <w:tcW w:w="1421" w:type="dxa"/>
            <w:vAlign w:val="center"/>
          </w:tcPr>
          <w:p w:rsidR="00F5382B" w:rsidRPr="00850928" w:rsidRDefault="00586507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10 104,6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lastRenderedPageBreak/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="004A6D63" w:rsidRPr="007D02BF">
        <w:rPr>
          <w:b/>
          <w:sz w:val="28"/>
          <w:szCs w:val="28"/>
          <w:lang w:val="en-US"/>
        </w:rPr>
        <w:t>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в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A6160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586507" w:rsidP="0029009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115 396,4</w:t>
            </w:r>
            <w:r w:rsidR="00BF5D12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595043" w:rsidRPr="0042250E" w:rsidTr="00CA4744">
        <w:trPr>
          <w:trHeight w:val="850"/>
        </w:trPr>
        <w:tc>
          <w:tcPr>
            <w:tcW w:w="534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595043" w:rsidRPr="0042250E" w:rsidRDefault="00595043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8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9E394A"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B37167" w:rsidRDefault="004C46F8" w:rsidP="004C46F8">
            <w:pPr>
              <w:autoSpaceDE w:val="0"/>
              <w:jc w:val="center"/>
              <w:rPr>
                <w:highlight w:val="yellow"/>
              </w:rPr>
            </w:pPr>
            <w:r w:rsidRPr="009E394A">
              <w:t>13 861</w:t>
            </w:r>
          </w:p>
        </w:tc>
        <w:tc>
          <w:tcPr>
            <w:tcW w:w="993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500</w:t>
            </w:r>
          </w:p>
        </w:tc>
        <w:tc>
          <w:tcPr>
            <w:tcW w:w="993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="004A6D63">
        <w:rPr>
          <w:b/>
          <w:caps/>
          <w:sz w:val="28"/>
          <w:szCs w:val="28"/>
          <w:lang w:val="en-US"/>
        </w:rPr>
        <w:t>X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Информатизация органов местного самоуправления, модернизация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6160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CF706B" w:rsidP="00C604F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164 310,6</w:t>
            </w:r>
            <w:r w:rsidR="00266508" w:rsidRPr="0085092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lastRenderedPageBreak/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9E394A">
        <w:rPr>
          <w:sz w:val="28"/>
          <w:szCs w:val="28"/>
        </w:rPr>
        <w:t xml:space="preserve"> 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</w:t>
      </w:r>
      <w:r w:rsidRPr="00D172B6">
        <w:rPr>
          <w:bCs/>
          <w:sz w:val="28"/>
          <w:szCs w:val="28"/>
        </w:rPr>
        <w:lastRenderedPageBreak/>
        <w:t xml:space="preserve">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>. В округе действуют добровольные народные  дружины (ДНД) общей численностью 3</w:t>
      </w:r>
      <w:r w:rsidR="00392132" w:rsidRPr="004C7172">
        <w:rPr>
          <w:sz w:val="28"/>
          <w:szCs w:val="28"/>
        </w:rPr>
        <w:t>5</w:t>
      </w:r>
      <w:r w:rsidRPr="004C7172">
        <w:rPr>
          <w:sz w:val="28"/>
          <w:szCs w:val="28"/>
        </w:rPr>
        <w:t xml:space="preserve">5 человек. За </w:t>
      </w:r>
      <w:r w:rsidR="00392132" w:rsidRPr="004C7172">
        <w:rPr>
          <w:sz w:val="28"/>
          <w:szCs w:val="28"/>
        </w:rPr>
        <w:t>9</w:t>
      </w:r>
      <w:r w:rsidRPr="004C7172">
        <w:rPr>
          <w:sz w:val="28"/>
          <w:szCs w:val="28"/>
        </w:rPr>
        <w:t xml:space="preserve"> месяцев 201</w:t>
      </w:r>
      <w:r w:rsidR="00392132" w:rsidRPr="004C7172">
        <w:rPr>
          <w:sz w:val="28"/>
          <w:szCs w:val="28"/>
        </w:rPr>
        <w:t>6</w:t>
      </w:r>
      <w:r w:rsidRPr="004C7172">
        <w:rPr>
          <w:sz w:val="28"/>
          <w:szCs w:val="28"/>
        </w:rPr>
        <w:t xml:space="preserve"> года </w:t>
      </w:r>
      <w:r w:rsidR="00392132" w:rsidRPr="004C7172">
        <w:rPr>
          <w:sz w:val="28"/>
          <w:szCs w:val="28"/>
        </w:rPr>
        <w:t xml:space="preserve">проведено 378 рейдов по микрорайонам, 2715 раз проводилось патрулирование улиц, проверено 882 торговые точки с целью пресечения распития спиртных напитков, выявлено 187 мест несанкционированной их продажи, 3432 раза проводилась профилактическая работа с семейными дебоширами, посетили 1840 неблагополучных семей, </w:t>
      </w:r>
      <w:r w:rsidR="004C7172" w:rsidRPr="004C7172">
        <w:rPr>
          <w:sz w:val="28"/>
          <w:szCs w:val="28"/>
        </w:rPr>
        <w:t>составлено 492 протокола по выявленным нарушениям</w:t>
      </w:r>
      <w:r w:rsidRPr="004C7172">
        <w:rPr>
          <w:sz w:val="28"/>
          <w:szCs w:val="28"/>
        </w:rPr>
        <w:t>.</w:t>
      </w:r>
      <w:r w:rsidR="002162F7" w:rsidRPr="004C7172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>заведующего. С 2013 года в архивном отделе работают 6 человек. В архиве хранится около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 xml:space="preserve">, а так </w:t>
      </w:r>
      <w:r w:rsidR="00313851">
        <w:rPr>
          <w:sz w:val="28"/>
          <w:szCs w:val="28"/>
        </w:rPr>
        <w:lastRenderedPageBreak/>
        <w:t>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8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9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50928">
              <w:rPr>
                <w:b/>
                <w:lang w:val="en-US"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4A6D63" w:rsidRPr="00B84C8A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</w:tr>
      <w:tr w:rsidR="00F16C7C" w:rsidRPr="00B84C8A" w:rsidTr="005919DB">
        <w:trPr>
          <w:trHeight w:val="836"/>
        </w:trPr>
        <w:tc>
          <w:tcPr>
            <w:tcW w:w="534" w:type="dxa"/>
            <w:vAlign w:val="center"/>
          </w:tcPr>
          <w:p w:rsidR="00F16C7C" w:rsidRPr="00F16C7C" w:rsidRDefault="00F16C7C" w:rsidP="00CA4744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F16C7C" w:rsidRPr="008F5872" w:rsidRDefault="00F16C7C" w:rsidP="00974C31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F16C7C" w:rsidRPr="00F16C7C" w:rsidRDefault="00F16C7C" w:rsidP="00974C31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6</w:t>
            </w:r>
          </w:p>
        </w:tc>
        <w:tc>
          <w:tcPr>
            <w:tcW w:w="993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42250E" w:rsidRDefault="00F16C7C" w:rsidP="00974C31">
            <w:pPr>
              <w:autoSpaceDE w:val="0"/>
              <w:jc w:val="center"/>
            </w:pPr>
            <w:r>
              <w:t>48</w:t>
            </w:r>
          </w:p>
        </w:tc>
      </w:tr>
      <w:tr w:rsidR="00BE06DD" w:rsidRPr="00B84C8A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2018-2020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6160C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586507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20 631,8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850928" w:rsidRPr="003211A1" w:rsidTr="00CA4744">
        <w:trPr>
          <w:trHeight w:val="850"/>
        </w:trPr>
        <w:tc>
          <w:tcPr>
            <w:tcW w:w="534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50928" w:rsidRPr="003211A1" w:rsidRDefault="00850928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 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2017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2018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2019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6160C">
        <w:rPr>
          <w:sz w:val="28"/>
          <w:szCs w:val="28"/>
        </w:rPr>
        <w:t>2018-2020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117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3E4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B76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6507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3F45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1D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CE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29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C40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4F2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06B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0A12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D0881-6240-4F1E-9E82-AC4FB16D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6A6A-350A-4E55-8016-EEEB8DB7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7790</Words>
  <Characters>44408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2019-02-06T08:25:00Z</cp:lastPrinted>
  <dcterms:created xsi:type="dcterms:W3CDTF">2019-02-11T12:09:00Z</dcterms:created>
  <dcterms:modified xsi:type="dcterms:W3CDTF">2019-02-11T12:09:00Z</dcterms:modified>
</cp:coreProperties>
</file>