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DF" w:rsidRPr="00C509DF" w:rsidRDefault="00C509DF" w:rsidP="00C509DF">
      <w:pPr>
        <w:spacing w:after="0"/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509DF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C509DF" w:rsidRPr="00C509DF" w:rsidRDefault="00C509DF" w:rsidP="00C509DF">
      <w:pPr>
        <w:spacing w:after="0"/>
        <w:ind w:firstLine="459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C509DF" w:rsidRDefault="00C509DF" w:rsidP="00C509DF">
      <w:pPr>
        <w:spacing w:after="0"/>
        <w:ind w:firstLine="45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4FD">
        <w:rPr>
          <w:rFonts w:ascii="Times New Roman" w:hAnsi="Times New Roman" w:cs="Times New Roman"/>
          <w:b/>
          <w:i/>
          <w:sz w:val="28"/>
          <w:szCs w:val="28"/>
        </w:rPr>
        <w:t xml:space="preserve">Хочу вступить в кредитный кооператив, но опасаюсь нарваться на «финансовую пирамиду». Как разобраться в рекламе многочисленных КПК? </w:t>
      </w:r>
    </w:p>
    <w:p w:rsidR="00C509DF" w:rsidRDefault="00C509DF" w:rsidP="00C509DF">
      <w:pPr>
        <w:tabs>
          <w:tab w:val="left" w:pos="1222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9DF" w:rsidRPr="003E44FD" w:rsidRDefault="00C509DF" w:rsidP="00C509DF">
      <w:pPr>
        <w:tabs>
          <w:tab w:val="left" w:pos="1222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4FD">
        <w:rPr>
          <w:rFonts w:ascii="Times New Roman" w:hAnsi="Times New Roman" w:cs="Times New Roman"/>
          <w:b/>
          <w:sz w:val="28"/>
          <w:szCs w:val="28"/>
        </w:rPr>
        <w:t>Отвечает управляющий Отделением по Владимирской области ГУ Банка России по ЦФО Надежда Калашникова</w:t>
      </w:r>
    </w:p>
    <w:p w:rsidR="00C509DF" w:rsidRPr="003E44FD" w:rsidRDefault="00C509DF" w:rsidP="00C509DF">
      <w:pPr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3E44FD">
        <w:rPr>
          <w:rFonts w:ascii="Times New Roman" w:hAnsi="Times New Roman" w:cs="Times New Roman"/>
          <w:sz w:val="28"/>
          <w:szCs w:val="28"/>
        </w:rPr>
        <w:t xml:space="preserve">Чтобы принять </w:t>
      </w:r>
      <w:r>
        <w:rPr>
          <w:rFonts w:ascii="Times New Roman" w:hAnsi="Times New Roman" w:cs="Times New Roman"/>
          <w:sz w:val="28"/>
          <w:szCs w:val="28"/>
        </w:rPr>
        <w:t xml:space="preserve">взвешенное </w:t>
      </w:r>
      <w:r w:rsidRPr="003E44FD">
        <w:rPr>
          <w:rFonts w:ascii="Times New Roman" w:hAnsi="Times New Roman" w:cs="Times New Roman"/>
          <w:sz w:val="28"/>
          <w:szCs w:val="28"/>
        </w:rPr>
        <w:t xml:space="preserve">решение о вступлении в кооператив, прежде всего, необходимо проверить, включен ли кооператив в общий реестр КПК. Он опубликован на сайте Банка России (www.cbr.ru). Принимать новых членов и привлекать их сбережения может только кооператив, который есть в списке Банка России. </w:t>
      </w:r>
    </w:p>
    <w:p w:rsidR="00C509DF" w:rsidRPr="003E44FD" w:rsidRDefault="00C509DF" w:rsidP="00C509DF">
      <w:pPr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3E44FD">
        <w:rPr>
          <w:rFonts w:ascii="Times New Roman" w:hAnsi="Times New Roman" w:cs="Times New Roman"/>
          <w:sz w:val="28"/>
          <w:szCs w:val="28"/>
        </w:rPr>
        <w:t xml:space="preserve">Организационная форма кооператива должна быть именно кредитный потребительский кооператив, не ЗАО, ООО, АО и т.д. </w:t>
      </w:r>
    </w:p>
    <w:p w:rsidR="00C509DF" w:rsidRPr="003E44FD" w:rsidRDefault="00C509DF" w:rsidP="00C509D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44FD">
        <w:rPr>
          <w:rFonts w:ascii="Times New Roman" w:hAnsi="Times New Roman" w:cs="Times New Roman"/>
          <w:sz w:val="28"/>
          <w:szCs w:val="28"/>
        </w:rPr>
        <w:t>Одновременно и в обязательном порядке данный КПК должен быть членом саморегулируемой организации (СРО) – объединения таких же кооперативов. Это также можно проверить в реестре, который обновляется ежемесячно. КПК, не вступивший в СРО в установленные сроки, подлежит ликвидации в судебном порядке по иску Банка России.</w:t>
      </w:r>
    </w:p>
    <w:p w:rsidR="00C509DF" w:rsidRPr="003E44FD" w:rsidRDefault="00C509DF" w:rsidP="00C509DF">
      <w:pPr>
        <w:pStyle w:val="a3"/>
        <w:spacing w:after="0"/>
        <w:ind w:left="0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3E44FD">
        <w:rPr>
          <w:rFonts w:ascii="Times New Roman" w:hAnsi="Times New Roman" w:cs="Times New Roman"/>
          <w:sz w:val="28"/>
          <w:szCs w:val="28"/>
        </w:rPr>
        <w:t xml:space="preserve">КПК не должен привлекать случайных людей, должна обеспечиваться кооперативная общность – территориальная, профессиональная либо иная, закрепленная в уставе КПК. </w:t>
      </w:r>
      <w:r>
        <w:rPr>
          <w:rFonts w:ascii="Times New Roman" w:hAnsi="Times New Roman" w:cs="Times New Roman"/>
          <w:sz w:val="28"/>
          <w:szCs w:val="28"/>
        </w:rPr>
        <w:t xml:space="preserve">Принцип действия КПК - </w:t>
      </w:r>
      <w:r w:rsidRPr="00110A3A">
        <w:rPr>
          <w:rFonts w:ascii="Times New Roman" w:hAnsi="Times New Roman" w:cs="Times New Roman"/>
          <w:sz w:val="28"/>
          <w:szCs w:val="28"/>
        </w:rPr>
        <w:t>пайщики размещают свои сбережения, за счет которых выдаются з</w:t>
      </w:r>
      <w:r>
        <w:rPr>
          <w:rFonts w:ascii="Times New Roman" w:hAnsi="Times New Roman" w:cs="Times New Roman"/>
          <w:sz w:val="28"/>
          <w:szCs w:val="28"/>
        </w:rPr>
        <w:t>аймы другим членам кооператива. Это важно - кооператив</w:t>
      </w:r>
      <w:r w:rsidRPr="003E4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выдавать</w:t>
      </w:r>
      <w:r w:rsidRPr="003E44FD">
        <w:rPr>
          <w:rFonts w:ascii="Times New Roman" w:hAnsi="Times New Roman" w:cs="Times New Roman"/>
          <w:sz w:val="28"/>
          <w:szCs w:val="28"/>
        </w:rPr>
        <w:t xml:space="preserve"> займы только своим </w:t>
      </w:r>
      <w:r>
        <w:rPr>
          <w:rFonts w:ascii="Times New Roman" w:hAnsi="Times New Roman" w:cs="Times New Roman"/>
          <w:sz w:val="28"/>
          <w:szCs w:val="28"/>
        </w:rPr>
        <w:t xml:space="preserve">пайщикам. </w:t>
      </w:r>
      <w:r w:rsidRPr="003E44FD">
        <w:rPr>
          <w:rFonts w:ascii="Times New Roman" w:hAnsi="Times New Roman" w:cs="Times New Roman"/>
          <w:sz w:val="28"/>
          <w:szCs w:val="28"/>
        </w:rPr>
        <w:t xml:space="preserve">Именно наличие подобной устойчивой связи между пайщиками </w:t>
      </w:r>
      <w:r>
        <w:rPr>
          <w:rFonts w:ascii="Times New Roman" w:hAnsi="Times New Roman" w:cs="Times New Roman"/>
          <w:sz w:val="28"/>
          <w:szCs w:val="28"/>
        </w:rPr>
        <w:t>способствует</w:t>
      </w:r>
      <w:r w:rsidRPr="003E44FD">
        <w:rPr>
          <w:rFonts w:ascii="Times New Roman" w:hAnsi="Times New Roman" w:cs="Times New Roman"/>
          <w:sz w:val="28"/>
          <w:szCs w:val="28"/>
        </w:rPr>
        <w:t xml:space="preserve"> снижени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44FD">
        <w:rPr>
          <w:rFonts w:ascii="Times New Roman" w:hAnsi="Times New Roman" w:cs="Times New Roman"/>
          <w:sz w:val="28"/>
          <w:szCs w:val="28"/>
        </w:rPr>
        <w:t xml:space="preserve"> рисков в деятельности КПК и его более высокой финансовой устойчивости по сравнению с другими финансовыми организациями.</w:t>
      </w:r>
    </w:p>
    <w:p w:rsidR="00C509DF" w:rsidRPr="003E44FD" w:rsidRDefault="00C509DF" w:rsidP="00C509DF">
      <w:pPr>
        <w:pStyle w:val="a3"/>
        <w:spacing w:after="0"/>
        <w:ind w:left="0"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м</w:t>
      </w:r>
      <w:r w:rsidRPr="003E44FD">
        <w:rPr>
          <w:rFonts w:ascii="Times New Roman" w:hAnsi="Times New Roman" w:cs="Times New Roman"/>
          <w:sz w:val="28"/>
          <w:szCs w:val="28"/>
        </w:rPr>
        <w:t>ногие финансовые пирамиды маскируются под КПК, привлекают средства граждан и исчезают.</w:t>
      </w:r>
    </w:p>
    <w:p w:rsidR="00C509DF" w:rsidRPr="003E44FD" w:rsidRDefault="00C509DF" w:rsidP="00C509DF">
      <w:pPr>
        <w:pStyle w:val="a3"/>
        <w:spacing w:after="0"/>
        <w:ind w:left="0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3E44FD">
        <w:rPr>
          <w:rFonts w:ascii="Times New Roman" w:hAnsi="Times New Roman" w:cs="Times New Roman"/>
          <w:sz w:val="28"/>
          <w:szCs w:val="28"/>
        </w:rPr>
        <w:t xml:space="preserve">Чтобы распознать </w:t>
      </w:r>
      <w:proofErr w:type="spellStart"/>
      <w:r w:rsidRPr="003E44FD">
        <w:rPr>
          <w:rFonts w:ascii="Times New Roman" w:hAnsi="Times New Roman" w:cs="Times New Roman"/>
          <w:sz w:val="28"/>
          <w:szCs w:val="28"/>
        </w:rPr>
        <w:t>финпирамиду</w:t>
      </w:r>
      <w:proofErr w:type="spellEnd"/>
      <w:r w:rsidRPr="003E44FD">
        <w:rPr>
          <w:rFonts w:ascii="Times New Roman" w:hAnsi="Times New Roman" w:cs="Times New Roman"/>
          <w:sz w:val="28"/>
          <w:szCs w:val="28"/>
        </w:rPr>
        <w:t>, нужно внимательно изучить все нормативные документы кооператива до вступления в него. Насторожить должна агрессивная реклама, высокие проценты по взносам пайщиков кооператива</w:t>
      </w:r>
      <w:r>
        <w:rPr>
          <w:rFonts w:ascii="Times New Roman" w:hAnsi="Times New Roman" w:cs="Times New Roman"/>
          <w:sz w:val="28"/>
          <w:szCs w:val="28"/>
        </w:rPr>
        <w:t xml:space="preserve">. А ведь процентная ставка по договору передачи личных сбережений не должна более чем вдвое </w:t>
      </w:r>
      <w:r w:rsidRPr="00E025B6">
        <w:rPr>
          <w:rFonts w:ascii="Times New Roman" w:hAnsi="Times New Roman" w:cs="Times New Roman"/>
          <w:sz w:val="28"/>
          <w:szCs w:val="28"/>
        </w:rPr>
        <w:t>превышать ключевую ставку. Так что не стоит верить обещаниям про заоблачные</w:t>
      </w:r>
      <w:r w:rsidRPr="00A37E77">
        <w:rPr>
          <w:rFonts w:ascii="Times New Roman" w:hAnsi="Times New Roman" w:cs="Times New Roman"/>
          <w:sz w:val="28"/>
          <w:szCs w:val="28"/>
        </w:rPr>
        <w:t xml:space="preserve"> проценты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4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 з</w:t>
      </w:r>
      <w:r w:rsidRPr="003E44FD">
        <w:rPr>
          <w:rFonts w:ascii="Times New Roman" w:hAnsi="Times New Roman" w:cs="Times New Roman"/>
          <w:sz w:val="28"/>
          <w:szCs w:val="28"/>
        </w:rPr>
        <w:t xml:space="preserve">ачастую пирамиды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Pr="003E44FD">
        <w:rPr>
          <w:rFonts w:ascii="Times New Roman" w:hAnsi="Times New Roman" w:cs="Times New Roman"/>
          <w:sz w:val="28"/>
          <w:szCs w:val="28"/>
        </w:rPr>
        <w:t>льготные условия пайщику, если он привлечет новых членов</w:t>
      </w:r>
      <w:r>
        <w:rPr>
          <w:rFonts w:ascii="Times New Roman" w:hAnsi="Times New Roman" w:cs="Times New Roman"/>
          <w:sz w:val="28"/>
          <w:szCs w:val="28"/>
        </w:rPr>
        <w:t>, что тоже должно насторожить</w:t>
      </w:r>
      <w:r w:rsidRPr="003E44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9DF" w:rsidRDefault="00C509DF" w:rsidP="00C509DF">
      <w:pPr>
        <w:pStyle w:val="a3"/>
        <w:spacing w:after="0"/>
        <w:ind w:left="0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3E44FD">
        <w:rPr>
          <w:rFonts w:ascii="Times New Roman" w:hAnsi="Times New Roman" w:cs="Times New Roman"/>
          <w:sz w:val="28"/>
          <w:szCs w:val="28"/>
        </w:rPr>
        <w:t xml:space="preserve">Если возникают сомнения в легальности деятельности организации, рекламирующей себя как кредитный потребительский кооператив и привлекающей </w:t>
      </w:r>
      <w:r w:rsidRPr="003E44FD">
        <w:rPr>
          <w:rFonts w:ascii="Times New Roman" w:hAnsi="Times New Roman" w:cs="Times New Roman"/>
          <w:sz w:val="28"/>
          <w:szCs w:val="28"/>
        </w:rPr>
        <w:lastRenderedPageBreak/>
        <w:t xml:space="preserve">деньги граждан, </w:t>
      </w:r>
      <w:r>
        <w:rPr>
          <w:rFonts w:ascii="Times New Roman" w:hAnsi="Times New Roman" w:cs="Times New Roman"/>
          <w:sz w:val="28"/>
          <w:szCs w:val="28"/>
        </w:rPr>
        <w:t>Вам необходимо обрати</w:t>
      </w:r>
      <w:r w:rsidRPr="003E44FD">
        <w:rPr>
          <w:rFonts w:ascii="Times New Roman" w:hAnsi="Times New Roman" w:cs="Times New Roman"/>
          <w:sz w:val="28"/>
          <w:szCs w:val="28"/>
        </w:rPr>
        <w:t xml:space="preserve">ться в Банк России через Интернет-приемную на сайте Банка России </w:t>
      </w:r>
      <w:hyperlink r:id="rId4" w:history="1">
        <w:r w:rsidRPr="00A2771B">
          <w:rPr>
            <w:rStyle w:val="a4"/>
            <w:rFonts w:ascii="Times New Roman" w:hAnsi="Times New Roman" w:cs="Times New Roman"/>
            <w:sz w:val="28"/>
            <w:szCs w:val="28"/>
          </w:rPr>
          <w:t>www.cbr.ru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965BA" w:rsidRDefault="001965BA"/>
    <w:sectPr w:rsidR="001965BA" w:rsidSect="00A65FC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DF"/>
    <w:rsid w:val="001965BA"/>
    <w:rsid w:val="00A65FCA"/>
    <w:rsid w:val="00C5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AC2A0-65FE-4A11-A1FD-D158F397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9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9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2018-02-19T13:34:00Z</dcterms:created>
  <dcterms:modified xsi:type="dcterms:W3CDTF">2018-02-19T13:35:00Z</dcterms:modified>
</cp:coreProperties>
</file>