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1C25D" w14:textId="519D5CD5" w:rsidR="00917D8A" w:rsidRPr="00917D8A" w:rsidRDefault="00917D8A" w:rsidP="00917D8A">
      <w:pPr>
        <w:jc w:val="right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Приложение 2</w:t>
      </w:r>
    </w:p>
    <w:p w14:paraId="1CFF3B1C" w14:textId="77777777" w:rsidR="00917D8A" w:rsidRDefault="00917D8A">
      <w:pPr>
        <w:rPr>
          <w:rFonts w:cs="Times New Roman"/>
          <w:b/>
          <w:sz w:val="26"/>
          <w:szCs w:val="26"/>
        </w:rPr>
      </w:pPr>
    </w:p>
    <w:p w14:paraId="43BE60B8" w14:textId="77777777" w:rsidR="003C2061" w:rsidRPr="00917D8A" w:rsidRDefault="001D70DB">
      <w:pPr>
        <w:rPr>
          <w:rFonts w:cs="Times New Roman"/>
          <w:b/>
          <w:sz w:val="26"/>
          <w:szCs w:val="26"/>
        </w:rPr>
      </w:pPr>
      <w:r w:rsidRPr="00917D8A">
        <w:rPr>
          <w:rFonts w:cs="Times New Roman"/>
          <w:b/>
          <w:sz w:val="26"/>
          <w:szCs w:val="26"/>
        </w:rPr>
        <w:t>Хочу стать пайщиком кредитного кооператива. На что мне обратить внимание при вступлении?</w:t>
      </w:r>
    </w:p>
    <w:p w14:paraId="5565D0B0" w14:textId="46BCD0AC" w:rsidR="001D70DB" w:rsidRPr="00917D8A" w:rsidRDefault="001D70DB">
      <w:pPr>
        <w:rPr>
          <w:rFonts w:cs="Times New Roman"/>
          <w:b/>
          <w:sz w:val="26"/>
          <w:szCs w:val="26"/>
        </w:rPr>
      </w:pPr>
      <w:r w:rsidRPr="00917D8A">
        <w:rPr>
          <w:rFonts w:cs="Times New Roman"/>
          <w:b/>
          <w:sz w:val="26"/>
          <w:szCs w:val="26"/>
        </w:rPr>
        <w:t>Отвечает управляющий Отделением по Владимирской области ГУ Банка России по Ц</w:t>
      </w:r>
      <w:r w:rsidR="00E97AC9">
        <w:rPr>
          <w:rFonts w:cs="Times New Roman"/>
          <w:b/>
          <w:sz w:val="26"/>
          <w:szCs w:val="26"/>
        </w:rPr>
        <w:t xml:space="preserve">ентральному федеральному округу </w:t>
      </w:r>
      <w:bookmarkStart w:id="0" w:name="_GoBack"/>
      <w:bookmarkEnd w:id="0"/>
      <w:r w:rsidRPr="00917D8A">
        <w:rPr>
          <w:rFonts w:cs="Times New Roman"/>
          <w:b/>
          <w:sz w:val="26"/>
          <w:szCs w:val="26"/>
        </w:rPr>
        <w:t>Надежда Калашникова:</w:t>
      </w:r>
    </w:p>
    <w:p w14:paraId="3E03C355" w14:textId="77777777" w:rsidR="001D70DB" w:rsidRPr="00917D8A" w:rsidRDefault="001D70DB">
      <w:pPr>
        <w:rPr>
          <w:rFonts w:cs="Times New Roman"/>
          <w:b/>
          <w:sz w:val="26"/>
          <w:szCs w:val="26"/>
        </w:rPr>
      </w:pPr>
    </w:p>
    <w:p w14:paraId="31697417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 xml:space="preserve">Кредитный потребительский кооператив (КПК) – это объединение граждан и (или) юридических лиц для взаимной финансовой помощи. Для этого КПК ведет организационно-хозяйственную деятельность, но не предпринимательскую, а для удовлетворения материальных потребностей его членов (пайщиков). </w:t>
      </w:r>
    </w:p>
    <w:p w14:paraId="35975286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КПК действует наподобие кассы взаимопомощи. Привлекая деньги пайщиков, кооператив предоставляет их в виде займов другим членам кооператива. КПК не вправе предоставлять займы гражданам и организациям, не являющимся членами кооператива, не может осуществлять торговую и производственную деятельность, операции с ценными бумагами (кроме государственных и муниципальных ценных бумаг, закладных).</w:t>
      </w:r>
    </w:p>
    <w:p w14:paraId="0945B30D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Если гражданин хочет стать пайщиком кредитного кооператива, прежде всего, необходимо проверить, включен ли кооператив в реестр КПК. Он опубликован на сайте Банка России (</w:t>
      </w:r>
      <w:hyperlink r:id="rId5" w:history="1">
        <w:r w:rsidRPr="00917D8A">
          <w:rPr>
            <w:rStyle w:val="a4"/>
            <w:rFonts w:cs="Times New Roman"/>
            <w:sz w:val="26"/>
            <w:szCs w:val="26"/>
          </w:rPr>
          <w:t>www.cbr.ru</w:t>
        </w:r>
      </w:hyperlink>
      <w:r w:rsidRPr="00917D8A">
        <w:rPr>
          <w:rFonts w:cs="Times New Roman"/>
          <w:sz w:val="26"/>
          <w:szCs w:val="26"/>
        </w:rPr>
        <w:t>). Принимать новых членов и привлекать их сбережения может только кооператив, который включен в реестр Банка России и одновременно является членом саморегулируемой организации (СРО) – объединения таких же кооперативов. Об этом также можно узнать в реестре, который обновляется ежемесячно.</w:t>
      </w:r>
    </w:p>
    <w:p w14:paraId="51F2C16E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В случае если кредитный кооператив не входит в СРО, но привлекает средства пайщиков и принимает новых членов, рекомендуется незамедлительно направить информацию об этом в Банк России.</w:t>
      </w:r>
    </w:p>
    <w:p w14:paraId="68F36C47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 xml:space="preserve">Одним из важнейших принципов деятельности КПК является принцип добровольности вступления в кредитный кооператив и свободы выхода из него независимо от согласия других членов кредитного кооператива. Кооператив не вправе устанавливать «минимально необходимые» сроки пребывания в членах кооператива, не вправе удерживать пайщика в составе кооператива в связи </w:t>
      </w:r>
      <w:commentRangeStart w:id="1"/>
      <w:r w:rsidRPr="00917D8A">
        <w:rPr>
          <w:rFonts w:cs="Times New Roman"/>
          <w:sz w:val="26"/>
          <w:szCs w:val="26"/>
        </w:rPr>
        <w:t>с невозвратом долга им</w:t>
      </w:r>
      <w:commentRangeEnd w:id="1"/>
      <w:r w:rsidRPr="00917D8A">
        <w:rPr>
          <w:rStyle w:val="a5"/>
          <w:rFonts w:cs="Times New Roman"/>
          <w:sz w:val="26"/>
          <w:szCs w:val="26"/>
        </w:rPr>
        <w:commentReference w:id="1"/>
      </w:r>
      <w:r w:rsidRPr="00917D8A">
        <w:rPr>
          <w:rFonts w:cs="Times New Roman"/>
          <w:sz w:val="26"/>
          <w:szCs w:val="26"/>
        </w:rPr>
        <w:t xml:space="preserve"> или другим пайщиком, в отношении которого тот выступил поручителем. Кроме того, КПК не вправе не возвращать наследникам унаследованные ими накопления в связи с тем, что они не являются членами кооператива.</w:t>
      </w:r>
    </w:p>
    <w:p w14:paraId="5D8DDF65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 xml:space="preserve">При выходе из кооператива пайщику обязаны вернуть всю сумму личных сбережений с </w:t>
      </w:r>
      <w:commentRangeStart w:id="2"/>
      <w:r w:rsidRPr="00917D8A">
        <w:rPr>
          <w:rFonts w:cs="Times New Roman"/>
          <w:sz w:val="26"/>
          <w:szCs w:val="26"/>
        </w:rPr>
        <w:t xml:space="preserve">начисленными доходами </w:t>
      </w:r>
      <w:commentRangeEnd w:id="2"/>
      <w:r w:rsidRPr="00917D8A">
        <w:rPr>
          <w:rStyle w:val="a5"/>
          <w:rFonts w:cs="Times New Roman"/>
          <w:sz w:val="26"/>
          <w:szCs w:val="26"/>
        </w:rPr>
        <w:commentReference w:id="2"/>
      </w:r>
      <w:r w:rsidRPr="00917D8A">
        <w:rPr>
          <w:rFonts w:cs="Times New Roman"/>
          <w:sz w:val="26"/>
          <w:szCs w:val="26"/>
        </w:rPr>
        <w:t xml:space="preserve">не позднее трех месяцев со дня подачи заявления о выходе. </w:t>
      </w:r>
    </w:p>
    <w:p w14:paraId="26C00C58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lastRenderedPageBreak/>
        <w:t xml:space="preserve">Следует иметь в виду, что привлечение денежных средств в КПК осуществляется по договору передачи личных сбережений, а не по договору банковского вклада (депозита). Государственная система страхования вкладов в банках на сбережения членов кредитного кооператива не распространяется, и государство не несет ответственности по обязательствам КПК. </w:t>
      </w:r>
    </w:p>
    <w:p w14:paraId="30A65FF7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Имущественная ответственность КПК обеспечивается созданным СРО компенсационным фондом, до 5 процентов средств которого может быть использовано для компенсационных выплат пайщикам кооператива. Также КПК могут страховать в страховой организации риск своей ответственности за нарушение договоров передачи личных сбережений. Вместе с тем, необходимо учитывать, что ни один из этих способов не является безусловной гарантией полного возврата денежных средств пайщику в случае недостаточности имущества КПК для исполнения всех своих обязательств.</w:t>
      </w:r>
    </w:p>
    <w:p w14:paraId="79BC51F5" w14:textId="77777777" w:rsidR="001D70DB" w:rsidRPr="00917D8A" w:rsidRDefault="001D70DB" w:rsidP="001D70DB">
      <w:pPr>
        <w:autoSpaceDE w:val="0"/>
        <w:autoSpaceDN w:val="0"/>
        <w:adjustRightInd w:val="0"/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Каждый, кто вступает в члены КПК и становится его пайщиком, принимает на себя все риски такого решения. Все пайщики КПК солидарно несут субсидиарную ответственность по его убыткам. Это означает, что в случае образования в кооперативе убытков по итогам года пайщики обязаны покрыть их путем внесения дополнительных взносов.</w:t>
      </w:r>
    </w:p>
    <w:p w14:paraId="48A10BEE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Поэтому пайщикам рекомендуется принимать активное участие в деятельности кооператива и управлении им – участвовать в собраниях пайщиков, следить за новостями о кооперативе, в том числе и на сайте Банка России, знакомиться с документами кооператива, результатами проверок и так далее.</w:t>
      </w:r>
    </w:p>
    <w:p w14:paraId="655380E6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Существенным для устойчивости КПК является принцип общности его членов (пайщиков): объединение в связанный круг лиц по определенному признаку. Таким признаком может быть территориальный, профессиональный и (или) иной принцип, описанный в базовом стандарте СРО КПК и закрепленный в уставе КПК. Именно наличие подобной устойчивой связи является основой для субсидиарной ответственности членов КПК, равенства членов и возможности их самоорганизации в рамках кооператива, снижения риска в деятельности КПК и его более высокой финансовой устойчивости по сравнению с другими финансовыми организациями.</w:t>
      </w:r>
    </w:p>
    <w:p w14:paraId="4F84F6C8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Если возникают сомнения в легальности деятельности организации, рекламирующей себя как кредитный потребительский кооператив и привлекающей деньги граждан, или в ней усматриваются признаки «финансовой пирамиды», рекомендуется обращаться в Банк России:</w:t>
      </w:r>
    </w:p>
    <w:p w14:paraId="3AFC40D5" w14:textId="77777777" w:rsidR="001D70DB" w:rsidRPr="00917D8A" w:rsidRDefault="001D70DB" w:rsidP="001D70DB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8A">
        <w:rPr>
          <w:rFonts w:ascii="Times New Roman" w:hAnsi="Times New Roman" w:cs="Times New Roman"/>
          <w:sz w:val="26"/>
          <w:szCs w:val="26"/>
        </w:rPr>
        <w:t>через Интернет-приемную на сайте Банка России www.cbr.ru;</w:t>
      </w:r>
    </w:p>
    <w:p w14:paraId="7A4FED9D" w14:textId="77777777" w:rsidR="001D70DB" w:rsidRPr="00917D8A" w:rsidRDefault="001D70DB" w:rsidP="001D70DB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8A">
        <w:rPr>
          <w:rFonts w:ascii="Times New Roman" w:hAnsi="Times New Roman" w:cs="Times New Roman"/>
          <w:sz w:val="26"/>
          <w:szCs w:val="26"/>
        </w:rPr>
        <w:t>по адресу: 107016, г. Москва, ул. Неглинная, д. 12;</w:t>
      </w:r>
    </w:p>
    <w:p w14:paraId="675B8FC0" w14:textId="77777777" w:rsidR="001D70DB" w:rsidRPr="00917D8A" w:rsidRDefault="001D70DB" w:rsidP="001D70DB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8A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8" w:history="1">
        <w:r w:rsidRPr="00917D8A">
          <w:rPr>
            <w:rStyle w:val="a4"/>
            <w:rFonts w:ascii="Times New Roman" w:hAnsi="Times New Roman" w:cs="Times New Roman"/>
            <w:sz w:val="26"/>
            <w:szCs w:val="26"/>
          </w:rPr>
          <w:t>fps@cbr.ru</w:t>
        </w:r>
      </w:hyperlink>
      <w:r w:rsidRPr="00917D8A">
        <w:rPr>
          <w:rFonts w:ascii="Times New Roman" w:hAnsi="Times New Roman" w:cs="Times New Roman"/>
          <w:sz w:val="26"/>
          <w:szCs w:val="26"/>
        </w:rPr>
        <w:t>.</w:t>
      </w:r>
    </w:p>
    <w:p w14:paraId="3EA6B25C" w14:textId="77777777" w:rsidR="001D70DB" w:rsidRPr="00917D8A" w:rsidRDefault="001D70DB">
      <w:pPr>
        <w:rPr>
          <w:rFonts w:cs="Times New Roman"/>
          <w:sz w:val="26"/>
          <w:szCs w:val="26"/>
        </w:rPr>
      </w:pPr>
    </w:p>
    <w:sectPr w:rsidR="001D70DB" w:rsidRPr="00917D8A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Глебова Екатерина Маратовна" w:date="2017-03-16T12:34:00Z" w:initials="ГЕМ">
    <w:p w14:paraId="20BC765C" w14:textId="77777777" w:rsidR="001D70DB" w:rsidRDefault="001D70DB" w:rsidP="001D70DB">
      <w:pPr>
        <w:pStyle w:val="a6"/>
      </w:pPr>
      <w:r>
        <w:rPr>
          <w:rStyle w:val="a5"/>
        </w:rPr>
        <w:annotationRef/>
      </w:r>
      <w:r>
        <w:t>Долг возвращать он обязан, но нельзя его из-за долга удерживать в кооперативе.</w:t>
      </w:r>
    </w:p>
  </w:comment>
  <w:comment w:id="2" w:author="Глебова Екатерина Маратовна" w:date="2017-03-16T12:48:00Z" w:initials="ГЕМ">
    <w:p w14:paraId="79157246" w14:textId="77777777" w:rsidR="001D70DB" w:rsidRDefault="001D70DB" w:rsidP="001D70DB">
      <w:pPr>
        <w:pStyle w:val="a6"/>
      </w:pPr>
      <w:r>
        <w:rPr>
          <w:rStyle w:val="a5"/>
        </w:rPr>
        <w:annotationRef/>
      </w:r>
      <w:r>
        <w:t>Для принципа начисления процентов требований</w:t>
      </w:r>
      <w:r w:rsidRPr="007A0A5D">
        <w:t xml:space="preserve"> </w:t>
      </w:r>
      <w:r>
        <w:t>нет, все проценты устанавливаются самим кооперативом. Поэтому они так часто перерождаются в финансовые пирамиды.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BC765C" w15:done="0"/>
  <w15:commentEx w15:paraId="791572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78C"/>
    <w:multiLevelType w:val="hybridMultilevel"/>
    <w:tmpl w:val="2F2C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61"/>
    <w:rsid w:val="001D70DB"/>
    <w:rsid w:val="003C2061"/>
    <w:rsid w:val="00917D8A"/>
    <w:rsid w:val="009E1923"/>
    <w:rsid w:val="00A65FCA"/>
    <w:rsid w:val="00E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2AB0"/>
  <w15:chartTrackingRefBased/>
  <w15:docId w15:val="{105A4479-DB92-4BFF-913C-006047D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C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D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1D70D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D70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0DB"/>
    <w:pPr>
      <w:spacing w:after="200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0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7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s@cbr.ru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c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2017-03-20T09:05:00Z</dcterms:created>
  <dcterms:modified xsi:type="dcterms:W3CDTF">2017-03-22T05:53:00Z</dcterms:modified>
</cp:coreProperties>
</file>